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81" w:rsidRPr="00AD1C4D" w:rsidRDefault="00814781" w:rsidP="00814781">
      <w:pPr>
        <w:jc w:val="both"/>
        <w:rPr>
          <w:color w:val="000000" w:themeColor="text1"/>
          <w:sz w:val="28"/>
        </w:rPr>
      </w:pPr>
    </w:p>
    <w:p w:rsidR="00CB6D3E" w:rsidRDefault="00CB6D3E" w:rsidP="003A7DB2">
      <w:pPr>
        <w:pStyle w:val="a8"/>
        <w:numPr>
          <w:ilvl w:val="0"/>
          <w:numId w:val="46"/>
        </w:numPr>
        <w:tabs>
          <w:tab w:val="left" w:pos="709"/>
          <w:tab w:val="left" w:pos="851"/>
        </w:tabs>
        <w:ind w:left="0" w:firstLine="709"/>
        <w:jc w:val="both"/>
        <w:rPr>
          <w:color w:val="000000" w:themeColor="text1"/>
          <w:sz w:val="28"/>
        </w:rPr>
      </w:pPr>
      <w:r w:rsidRPr="00AD1C4D">
        <w:rPr>
          <w:color w:val="000000" w:themeColor="text1"/>
          <w:sz w:val="28"/>
        </w:rPr>
        <w:t>Внести в Сборник вознаграждений за операции, осуществляемые ОАО «БПС-Сбербанк» от 20.12.2016 № 01/01</w:t>
      </w:r>
      <w:r w:rsidRPr="00AD1C4D">
        <w:rPr>
          <w:color w:val="000000" w:themeColor="text1"/>
          <w:sz w:val="28"/>
        </w:rPr>
        <w:noBreakHyphen/>
        <w:t>07/606 (далее – Сборник) следующие изменения:</w:t>
      </w:r>
    </w:p>
    <w:p w:rsidR="003A7DB2" w:rsidRDefault="003A7DB2" w:rsidP="003A7DB2">
      <w:pPr>
        <w:pStyle w:val="a3"/>
        <w:numPr>
          <w:ilvl w:val="1"/>
          <w:numId w:val="46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под</w:t>
      </w:r>
      <w:r w:rsidRPr="00730974">
        <w:rPr>
          <w:szCs w:val="28"/>
        </w:rPr>
        <w:t xml:space="preserve">пункт </w:t>
      </w:r>
      <w:r>
        <w:rPr>
          <w:szCs w:val="28"/>
        </w:rPr>
        <w:t>4.4.11.1</w:t>
      </w:r>
      <w:r w:rsidRPr="00305E09">
        <w:rPr>
          <w:szCs w:val="28"/>
        </w:rPr>
        <w:t xml:space="preserve"> </w:t>
      </w:r>
      <w:r>
        <w:t>Сборника</w:t>
      </w:r>
      <w:r w:rsidRPr="00730974">
        <w:rPr>
          <w:szCs w:val="28"/>
        </w:rPr>
        <w:t xml:space="preserve"> изложить в следующей редакции:</w:t>
      </w:r>
    </w:p>
    <w:p w:rsidR="003A7DB2" w:rsidRDefault="003A7DB2" w:rsidP="003A7DB2">
      <w:pPr>
        <w:pStyle w:val="a3"/>
        <w:tabs>
          <w:tab w:val="left" w:pos="1134"/>
        </w:tabs>
        <w:ind w:hanging="155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6"/>
        <w:gridCol w:w="3122"/>
        <w:gridCol w:w="7"/>
        <w:gridCol w:w="1550"/>
        <w:gridCol w:w="1280"/>
        <w:gridCol w:w="1276"/>
        <w:gridCol w:w="6235"/>
      </w:tblGrid>
      <w:tr w:rsidR="003A7DB2" w:rsidRPr="00F93B09" w:rsidTr="009532B0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DB2" w:rsidRPr="00DA7A9E" w:rsidRDefault="003A7DB2" w:rsidP="009532B0">
            <w:pPr>
              <w:rPr>
                <w:sz w:val="24"/>
                <w:szCs w:val="24"/>
              </w:rPr>
            </w:pPr>
            <w:r w:rsidRPr="00DA7A9E">
              <w:rPr>
                <w:sz w:val="24"/>
                <w:szCs w:val="24"/>
              </w:rPr>
              <w:t xml:space="preserve">№ </w:t>
            </w:r>
            <w:proofErr w:type="gramStart"/>
            <w:r w:rsidRPr="00DA7A9E">
              <w:rPr>
                <w:sz w:val="24"/>
                <w:szCs w:val="24"/>
              </w:rPr>
              <w:t>п</w:t>
            </w:r>
            <w:proofErr w:type="gramEnd"/>
            <w:r w:rsidRPr="00DA7A9E"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B2" w:rsidRPr="00DA7A9E" w:rsidRDefault="003A7DB2" w:rsidP="009532B0">
            <w:pPr>
              <w:jc w:val="center"/>
              <w:rPr>
                <w:sz w:val="24"/>
                <w:szCs w:val="24"/>
              </w:rPr>
            </w:pPr>
            <w:r w:rsidRPr="00DA7A9E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DB2" w:rsidRPr="00DA7A9E" w:rsidRDefault="003A7DB2" w:rsidP="009532B0">
            <w:pPr>
              <w:jc w:val="center"/>
              <w:rPr>
                <w:sz w:val="24"/>
                <w:szCs w:val="24"/>
              </w:rPr>
            </w:pPr>
            <w:r w:rsidRPr="00DA7A9E">
              <w:rPr>
                <w:sz w:val="24"/>
                <w:szCs w:val="24"/>
              </w:rPr>
              <w:t>Основной размер вознаграждения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DB2" w:rsidRPr="00DA7A9E" w:rsidRDefault="003A7DB2" w:rsidP="009532B0">
            <w:pPr>
              <w:jc w:val="center"/>
              <w:rPr>
                <w:sz w:val="24"/>
                <w:szCs w:val="24"/>
                <w:lang w:val="en-US"/>
              </w:rPr>
            </w:pPr>
            <w:r w:rsidRPr="00DA7A9E">
              <w:rPr>
                <w:sz w:val="24"/>
                <w:szCs w:val="24"/>
                <w:lang w:val="en-US"/>
              </w:rPr>
              <w:t xml:space="preserve">MIN     </w:t>
            </w:r>
            <w:proofErr w:type="spellStart"/>
            <w:r w:rsidRPr="00DA7A9E">
              <w:rPr>
                <w:sz w:val="24"/>
                <w:szCs w:val="24"/>
                <w:lang w:val="en-US"/>
              </w:rPr>
              <w:t>размер</w:t>
            </w:r>
            <w:proofErr w:type="spellEnd"/>
            <w:r w:rsidRPr="00DA7A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A9E">
              <w:rPr>
                <w:sz w:val="24"/>
                <w:szCs w:val="24"/>
                <w:lang w:val="en-US"/>
              </w:rPr>
              <w:t>возн</w:t>
            </w:r>
            <w:proofErr w:type="spellEnd"/>
            <w:r w:rsidRPr="00DA7A9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DB2" w:rsidRPr="00DA7A9E" w:rsidRDefault="003A7DB2" w:rsidP="009532B0">
            <w:pPr>
              <w:jc w:val="center"/>
              <w:rPr>
                <w:sz w:val="24"/>
                <w:szCs w:val="24"/>
                <w:lang w:val="en-US"/>
              </w:rPr>
            </w:pPr>
            <w:r w:rsidRPr="00DA7A9E">
              <w:rPr>
                <w:sz w:val="24"/>
                <w:szCs w:val="24"/>
                <w:lang w:val="en-US"/>
              </w:rPr>
              <w:t xml:space="preserve">MAX       </w:t>
            </w:r>
            <w:proofErr w:type="spellStart"/>
            <w:r w:rsidRPr="00DA7A9E">
              <w:rPr>
                <w:sz w:val="24"/>
                <w:szCs w:val="24"/>
                <w:lang w:val="en-US"/>
              </w:rPr>
              <w:t>размер</w:t>
            </w:r>
            <w:proofErr w:type="spellEnd"/>
            <w:r w:rsidRPr="00DA7A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A9E">
              <w:rPr>
                <w:sz w:val="24"/>
                <w:szCs w:val="24"/>
                <w:lang w:val="en-US"/>
              </w:rPr>
              <w:t>возн</w:t>
            </w:r>
            <w:proofErr w:type="spellEnd"/>
            <w:r w:rsidRPr="00DA7A9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B2" w:rsidRPr="00DA7A9E" w:rsidRDefault="003A7DB2" w:rsidP="009532B0">
            <w:pPr>
              <w:jc w:val="center"/>
              <w:rPr>
                <w:sz w:val="24"/>
                <w:szCs w:val="24"/>
              </w:rPr>
            </w:pPr>
            <w:r w:rsidRPr="00DA7A9E">
              <w:rPr>
                <w:sz w:val="24"/>
                <w:szCs w:val="24"/>
              </w:rPr>
              <w:t>Примечание:</w:t>
            </w:r>
          </w:p>
        </w:tc>
      </w:tr>
      <w:tr w:rsidR="003A7DB2" w:rsidRPr="00DA7A9E" w:rsidTr="009532B0">
        <w:trPr>
          <w:trHeight w:val="1456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A94E5A">
              <w:rPr>
                <w:color w:val="000000" w:themeColor="text1"/>
                <w:sz w:val="24"/>
                <w:szCs w:val="24"/>
              </w:rPr>
              <w:t>4.4.11.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A94E5A">
              <w:rPr>
                <w:color w:val="000000" w:themeColor="text1"/>
                <w:sz w:val="24"/>
                <w:szCs w:val="24"/>
              </w:rPr>
              <w:t xml:space="preserve">Прием наличных денежных средств  (за исключением расчётов наличными денежными средствами между юридическими лицами, индивидуальными предпринимателями):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DB2" w:rsidRPr="00DA7A9E" w:rsidTr="009532B0">
        <w:trPr>
          <w:trHeight w:val="5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DB2" w:rsidRPr="00370BFD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370BFD">
              <w:rPr>
                <w:color w:val="000000" w:themeColor="text1"/>
                <w:sz w:val="24"/>
                <w:szCs w:val="24"/>
              </w:rPr>
              <w:t>4.4.11.1.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DB2" w:rsidRPr="00370BFD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370BFD">
              <w:rPr>
                <w:color w:val="000000" w:themeColor="text1"/>
                <w:sz w:val="24"/>
                <w:szCs w:val="24"/>
              </w:rPr>
              <w:t xml:space="preserve">в кассы Банка для зачисления на счета клиента в Банке </w:t>
            </w:r>
          </w:p>
          <w:p w:rsidR="003A7DB2" w:rsidRPr="00370BFD" w:rsidRDefault="003A7DB2" w:rsidP="009532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B2" w:rsidRPr="00B3209F" w:rsidRDefault="003A7DB2" w:rsidP="00953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0BFD">
              <w:rPr>
                <w:color w:val="000000" w:themeColor="text1"/>
                <w:sz w:val="24"/>
                <w:szCs w:val="24"/>
              </w:rPr>
              <w:t>0,3% от суммы</w:t>
            </w:r>
            <w:r w:rsidRPr="00B3209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3209F">
              <w:rPr>
                <w:color w:val="FF0000"/>
                <w:sz w:val="24"/>
                <w:szCs w:val="24"/>
              </w:rPr>
              <w:t>или включено в Пакет операций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DB2" w:rsidRPr="00370BFD" w:rsidRDefault="003A7DB2" w:rsidP="00953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0BFD">
              <w:rPr>
                <w:color w:val="000000" w:themeColor="text1"/>
                <w:sz w:val="24"/>
                <w:szCs w:val="24"/>
              </w:rPr>
              <w:t>3.00 BYN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DB2" w:rsidRPr="00A94E5A" w:rsidRDefault="003A7DB2" w:rsidP="009532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E5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A94E5A">
              <w:rPr>
                <w:color w:val="000000" w:themeColor="text1"/>
                <w:sz w:val="24"/>
                <w:szCs w:val="24"/>
              </w:rPr>
              <w:t>Вознаграждение взимается за один документ.</w:t>
            </w:r>
          </w:p>
          <w:p w:rsidR="003A7DB2" w:rsidRPr="00A94E5A" w:rsidRDefault="003A7DB2" w:rsidP="009532B0">
            <w:pPr>
              <w:rPr>
                <w:color w:val="000000" w:themeColor="text1"/>
                <w:sz w:val="24"/>
                <w:szCs w:val="24"/>
              </w:rPr>
            </w:pPr>
            <w:r w:rsidRPr="00A94E5A">
              <w:rPr>
                <w:color w:val="000000" w:themeColor="text1"/>
                <w:sz w:val="24"/>
                <w:szCs w:val="24"/>
              </w:rPr>
              <w:t>Вознаграждение взимается с юридического лица, индивидуального предпринимателя при внесении физическим лицом непосредственно в кассу Банка наличных денежных средств, подлежащих зачислению на счет юридического лица, индивидуального предпринимателя на пополнение (формирование) уставного фонда  юридического лица, а также по договорам займа (дарения), за исключением взносов физических лиц на счета обществ взаимного кредитования (</w:t>
            </w:r>
            <w:proofErr w:type="spellStart"/>
            <w:r w:rsidRPr="00A94E5A">
              <w:rPr>
                <w:color w:val="000000" w:themeColor="text1"/>
                <w:sz w:val="24"/>
                <w:szCs w:val="24"/>
              </w:rPr>
              <w:t>микрофинансовых</w:t>
            </w:r>
            <w:proofErr w:type="spellEnd"/>
            <w:r w:rsidRPr="00A94E5A">
              <w:rPr>
                <w:color w:val="000000" w:themeColor="text1"/>
                <w:sz w:val="24"/>
                <w:szCs w:val="24"/>
              </w:rPr>
              <w:t xml:space="preserve"> организаций), вознаграждение по которым  взимается с </w:t>
            </w:r>
            <w:proofErr w:type="spellStart"/>
            <w:r w:rsidRPr="00A94E5A">
              <w:rPr>
                <w:color w:val="000000" w:themeColor="text1"/>
                <w:sz w:val="24"/>
                <w:szCs w:val="24"/>
              </w:rPr>
              <w:t>вносителей</w:t>
            </w:r>
            <w:proofErr w:type="spellEnd"/>
            <w:r w:rsidRPr="00A94E5A">
              <w:rPr>
                <w:color w:val="000000" w:themeColor="text1"/>
                <w:sz w:val="24"/>
                <w:szCs w:val="24"/>
              </w:rPr>
              <w:t xml:space="preserve"> в размере, предусмотренном Главой 1 «Тарифы на услуги для физических лиц» настоящего Сборника вознаграждений.</w:t>
            </w:r>
          </w:p>
        </w:tc>
      </w:tr>
    </w:tbl>
    <w:p w:rsidR="003A7DB2" w:rsidRPr="003A7DB2" w:rsidRDefault="003A7DB2" w:rsidP="003A7DB2">
      <w:pPr>
        <w:tabs>
          <w:tab w:val="left" w:pos="851"/>
          <w:tab w:val="left" w:pos="14459"/>
        </w:tabs>
        <w:jc w:val="both"/>
        <w:rPr>
          <w:color w:val="000000" w:themeColor="text1"/>
          <w:sz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7DB2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976BAC" w:rsidRPr="00093F2A" w:rsidRDefault="00093F2A" w:rsidP="00093F2A">
      <w:pPr>
        <w:pStyle w:val="a8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пунктах </w:t>
      </w:r>
      <w:r w:rsidRPr="0035488F">
        <w:rPr>
          <w:sz w:val="28"/>
          <w:szCs w:val="28"/>
        </w:rPr>
        <w:t>5.1.10</w:t>
      </w:r>
      <w:r>
        <w:rPr>
          <w:sz w:val="28"/>
          <w:szCs w:val="28"/>
        </w:rPr>
        <w:t>,</w:t>
      </w:r>
      <w:r w:rsidRPr="0035488F">
        <w:rPr>
          <w:sz w:val="28"/>
          <w:szCs w:val="28"/>
        </w:rPr>
        <w:t xml:space="preserve"> 5.1.11</w:t>
      </w:r>
      <w:r>
        <w:rPr>
          <w:sz w:val="28"/>
          <w:szCs w:val="28"/>
        </w:rPr>
        <w:t>,</w:t>
      </w:r>
      <w:r w:rsidRPr="0035488F">
        <w:rPr>
          <w:sz w:val="28"/>
          <w:szCs w:val="28"/>
        </w:rPr>
        <w:t xml:space="preserve"> 5.1.12</w:t>
      </w:r>
      <w:r>
        <w:rPr>
          <w:sz w:val="28"/>
          <w:szCs w:val="28"/>
        </w:rPr>
        <w:t>,</w:t>
      </w:r>
      <w:r w:rsidRPr="0035488F">
        <w:rPr>
          <w:sz w:val="28"/>
          <w:szCs w:val="28"/>
        </w:rPr>
        <w:t xml:space="preserve"> 5.1.13</w:t>
      </w:r>
      <w:r>
        <w:rPr>
          <w:sz w:val="28"/>
          <w:szCs w:val="28"/>
        </w:rPr>
        <w:t>,</w:t>
      </w:r>
      <w:r w:rsidRPr="0035488F">
        <w:rPr>
          <w:sz w:val="28"/>
          <w:szCs w:val="28"/>
        </w:rPr>
        <w:t xml:space="preserve"> 5.1.18 </w:t>
      </w:r>
      <w:r>
        <w:rPr>
          <w:sz w:val="28"/>
          <w:szCs w:val="28"/>
        </w:rPr>
        <w:t>Сборника</w:t>
      </w:r>
      <w:r w:rsidRPr="00BD66ED" w:rsidDel="00354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названия пакетов </w:t>
      </w:r>
      <w:r w:rsidRPr="00BD66ED">
        <w:rPr>
          <w:sz w:val="28"/>
          <w:szCs w:val="28"/>
        </w:rPr>
        <w:t>дополнить примечанием следующего содержания:</w:t>
      </w:r>
    </w:p>
    <w:p w:rsidR="00976BAC" w:rsidRDefault="00976BAC" w:rsidP="00976BAC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76BAC" w:rsidRPr="007A702B" w:rsidRDefault="00976BAC" w:rsidP="00976BA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color w:val="FF0000"/>
        </w:rPr>
      </w:pPr>
      <w:r w:rsidRPr="007A702B">
        <w:rPr>
          <w:b/>
          <w:color w:val="FF0000"/>
        </w:rPr>
        <w:t>Примечание: *C 1</w:t>
      </w:r>
      <w:r w:rsidR="007A702B" w:rsidRPr="007A702B">
        <w:rPr>
          <w:b/>
          <w:color w:val="FF0000"/>
        </w:rPr>
        <w:t>9</w:t>
      </w:r>
      <w:r w:rsidRPr="007A702B">
        <w:rPr>
          <w:b/>
          <w:color w:val="FF0000"/>
        </w:rPr>
        <w:t>.06.2017 подключение к настоящему Пакету операций не производится.</w:t>
      </w:r>
    </w:p>
    <w:p w:rsidR="00976BAC" w:rsidRPr="000D1E0D" w:rsidRDefault="00976BAC" w:rsidP="00976BAC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976BAC" w:rsidRPr="00295305" w:rsidRDefault="00976BAC" w:rsidP="00093F2A">
      <w:pPr>
        <w:pStyle w:val="a3"/>
        <w:numPr>
          <w:ilvl w:val="1"/>
          <w:numId w:val="46"/>
        </w:numPr>
        <w:tabs>
          <w:tab w:val="left" w:pos="1134"/>
        </w:tabs>
        <w:spacing w:after="120"/>
        <w:ind w:left="0" w:firstLine="709"/>
        <w:jc w:val="both"/>
        <w:rPr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 xml:space="preserve"> </w:t>
      </w:r>
      <w:r w:rsidRPr="00295305">
        <w:rPr>
          <w:szCs w:val="28"/>
        </w:rPr>
        <w:t>пункт</w:t>
      </w:r>
      <w:r w:rsidR="00093F2A">
        <w:rPr>
          <w:szCs w:val="28"/>
        </w:rPr>
        <w:t>ы</w:t>
      </w:r>
      <w:r w:rsidRPr="00295305">
        <w:rPr>
          <w:szCs w:val="28"/>
        </w:rPr>
        <w:t xml:space="preserve"> 1</w:t>
      </w:r>
      <w:r w:rsidR="00093F2A">
        <w:rPr>
          <w:szCs w:val="28"/>
        </w:rPr>
        <w:t xml:space="preserve"> и 2</w:t>
      </w:r>
      <w:r w:rsidRPr="00295305">
        <w:rPr>
          <w:szCs w:val="28"/>
        </w:rPr>
        <w:t xml:space="preserve"> раздела 5.2 </w:t>
      </w:r>
      <w:r>
        <w:rPr>
          <w:szCs w:val="28"/>
        </w:rPr>
        <w:t xml:space="preserve">«Общие положения и порядок применения пакетов операций «Вместе к успеху» </w:t>
      </w:r>
      <w:r w:rsidRPr="00295305">
        <w:rPr>
          <w:szCs w:val="28"/>
        </w:rPr>
        <w:t>по обслуживанию юридических лиц и индивидуальных предпринимателей</w:t>
      </w:r>
      <w:r>
        <w:rPr>
          <w:szCs w:val="28"/>
        </w:rPr>
        <w:t>»</w:t>
      </w:r>
      <w:r w:rsidRPr="00295305">
        <w:rPr>
          <w:szCs w:val="28"/>
        </w:rPr>
        <w:t xml:space="preserve"> главы 5 </w:t>
      </w:r>
      <w:r>
        <w:rPr>
          <w:szCs w:val="28"/>
        </w:rPr>
        <w:t xml:space="preserve">Сборника </w:t>
      </w:r>
      <w:r w:rsidRPr="00295305">
        <w:rPr>
          <w:szCs w:val="28"/>
        </w:rPr>
        <w:t>изложить в следующей редакции:</w:t>
      </w:r>
    </w:p>
    <w:p w:rsidR="00976BAC" w:rsidRPr="00976BAC" w:rsidRDefault="00976BAC" w:rsidP="00976BAC">
      <w:pPr>
        <w:pStyle w:val="a3"/>
        <w:tabs>
          <w:tab w:val="left" w:pos="1134"/>
        </w:tabs>
        <w:spacing w:after="120"/>
        <w:ind w:left="0" w:firstLine="709"/>
        <w:jc w:val="both"/>
        <w:rPr>
          <w:color w:val="FF0000"/>
          <w:szCs w:val="28"/>
        </w:rPr>
      </w:pPr>
      <w:r w:rsidRPr="00295305">
        <w:rPr>
          <w:szCs w:val="28"/>
        </w:rPr>
        <w:t>«1. Общие положения и порядок применения Пакетов операций «ВМЕСТЕ К УСПЕХУ» по обслуживанию юридических лиц и индивидуальных  предпринимателей определяют порядок применения Пакетов операций, являющихся неотъемлемой частью Сборника вознаграждений  (далее – Пакеты операций), и оплаты вознаграждений за пакетное обслуживание, распространяют свое действие на Пакеты операций «Предприниматель», «Предприниматель плюс», «Старт», «Развитие», «</w:t>
      </w:r>
      <w:proofErr w:type="spellStart"/>
      <w:r w:rsidRPr="00295305">
        <w:rPr>
          <w:szCs w:val="28"/>
        </w:rPr>
        <w:t>Оптима</w:t>
      </w:r>
      <w:proofErr w:type="spellEnd"/>
      <w:r w:rsidRPr="00295305">
        <w:rPr>
          <w:szCs w:val="28"/>
        </w:rPr>
        <w:t>», «Лидер</w:t>
      </w:r>
      <w:r w:rsidRPr="00E66524">
        <w:rPr>
          <w:color w:val="000000" w:themeColor="text1"/>
          <w:szCs w:val="28"/>
        </w:rPr>
        <w:t xml:space="preserve">», «Профи», </w:t>
      </w:r>
      <w:r>
        <w:rPr>
          <w:color w:val="000000" w:themeColor="text1"/>
          <w:szCs w:val="28"/>
        </w:rPr>
        <w:t xml:space="preserve">«Представительство», </w:t>
      </w:r>
      <w:r w:rsidRPr="00E66524">
        <w:rPr>
          <w:color w:val="FF0000"/>
          <w:szCs w:val="28"/>
        </w:rPr>
        <w:t>«Приоритет», «Престиж», «Элит», «Партнер».</w:t>
      </w:r>
    </w:p>
    <w:p w:rsidR="00976BAC" w:rsidRPr="0044738E" w:rsidRDefault="00976BAC" w:rsidP="00976BAC">
      <w:pPr>
        <w:pStyle w:val="a3"/>
        <w:tabs>
          <w:tab w:val="left" w:pos="1134"/>
        </w:tabs>
        <w:ind w:left="0" w:firstLine="709"/>
        <w:jc w:val="both"/>
        <w:rPr>
          <w:szCs w:val="28"/>
        </w:rPr>
      </w:pPr>
      <w:r w:rsidRPr="0044738E">
        <w:rPr>
          <w:szCs w:val="28"/>
        </w:rPr>
        <w:t>2. Обслуживание с использованием Пакетов операций «Предприниматель», «Предприниматель плюс» возможно только для индивидуальных предпринимателей, адвокатов.</w:t>
      </w:r>
    </w:p>
    <w:p w:rsidR="00976BAC" w:rsidRPr="0044738E" w:rsidRDefault="00976BAC" w:rsidP="00976BAC">
      <w:pPr>
        <w:pStyle w:val="a3"/>
        <w:tabs>
          <w:tab w:val="left" w:pos="1134"/>
        </w:tabs>
        <w:ind w:left="0" w:firstLine="709"/>
        <w:jc w:val="both"/>
        <w:rPr>
          <w:szCs w:val="28"/>
        </w:rPr>
      </w:pPr>
      <w:r w:rsidRPr="0044738E">
        <w:rPr>
          <w:szCs w:val="28"/>
        </w:rPr>
        <w:t>Обслуживание с использованием Пакетов операций «Старт», «Развитие», «</w:t>
      </w:r>
      <w:proofErr w:type="spellStart"/>
      <w:r w:rsidRPr="0044738E">
        <w:rPr>
          <w:szCs w:val="28"/>
        </w:rPr>
        <w:t>Оптима</w:t>
      </w:r>
      <w:proofErr w:type="spellEnd"/>
      <w:r w:rsidRPr="0044738E">
        <w:rPr>
          <w:szCs w:val="28"/>
        </w:rPr>
        <w:t>», «Лидер», «Профи»,</w:t>
      </w:r>
      <w:r>
        <w:rPr>
          <w:szCs w:val="28"/>
        </w:rPr>
        <w:t xml:space="preserve"> «Представительство»,</w:t>
      </w:r>
      <w:r w:rsidRPr="0044738E">
        <w:rPr>
          <w:szCs w:val="28"/>
        </w:rPr>
        <w:t xml:space="preserve"> </w:t>
      </w:r>
      <w:r w:rsidRPr="00C06BCE">
        <w:rPr>
          <w:color w:val="FF0000"/>
          <w:szCs w:val="28"/>
        </w:rPr>
        <w:t xml:space="preserve">«Приоритет», «Престиж», «Элит» </w:t>
      </w:r>
      <w:r w:rsidRPr="0044738E">
        <w:rPr>
          <w:szCs w:val="28"/>
        </w:rPr>
        <w:t>возможно только для юридических лиц.</w:t>
      </w:r>
    </w:p>
    <w:p w:rsidR="00976BAC" w:rsidRPr="003A7DB2" w:rsidRDefault="00976BAC" w:rsidP="00976BAC">
      <w:pPr>
        <w:pStyle w:val="a3"/>
        <w:tabs>
          <w:tab w:val="left" w:pos="0"/>
          <w:tab w:val="left" w:pos="1134"/>
        </w:tabs>
        <w:spacing w:after="120"/>
        <w:ind w:left="0" w:firstLine="709"/>
        <w:jc w:val="both"/>
        <w:rPr>
          <w:szCs w:val="28"/>
        </w:rPr>
      </w:pPr>
      <w:r w:rsidRPr="00C06BCE">
        <w:rPr>
          <w:color w:val="FF0000"/>
          <w:szCs w:val="28"/>
        </w:rPr>
        <w:t>Обслуживание с использованием Пакета операций «Партнер» возможно  для юридических лиц, индивидуальных предпринимателей, адвокатов.</w:t>
      </w:r>
      <w:r w:rsidRPr="0044738E">
        <w:rPr>
          <w:szCs w:val="28"/>
        </w:rPr>
        <w:t>»</w:t>
      </w:r>
      <w:r w:rsidRPr="001B7882">
        <w:rPr>
          <w:szCs w:val="28"/>
        </w:rPr>
        <w:t>;</w:t>
      </w:r>
    </w:p>
    <w:p w:rsidR="00976BAC" w:rsidRPr="001B7882" w:rsidRDefault="00093F2A" w:rsidP="00093F2A">
      <w:pPr>
        <w:pStyle w:val="a8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BD66ED">
        <w:rPr>
          <w:sz w:val="28"/>
          <w:szCs w:val="28"/>
        </w:rPr>
        <w:t xml:space="preserve"> 1.7 </w:t>
      </w:r>
      <w:r>
        <w:rPr>
          <w:sz w:val="28"/>
          <w:szCs w:val="28"/>
        </w:rPr>
        <w:t>пунктов 5.2.1</w:t>
      </w:r>
      <w:r w:rsidRPr="009D0B72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Пакета операций по обслуживанию индивидуальных предпринимателей «Предприниматель» , 5.2.2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индивидуальных предпринимателей «Предприниматель плюс», 5.2.3 Пакета операций по обслуживанию юридических лиц «Старт» </w:t>
      </w:r>
      <w:r w:rsidRPr="00BD66ED">
        <w:rPr>
          <w:sz w:val="28"/>
          <w:szCs w:val="28"/>
        </w:rPr>
        <w:t>изложить в следующей редакции:</w:t>
      </w:r>
    </w:p>
    <w:p w:rsidR="00976BAC" w:rsidRPr="003A7DB2" w:rsidRDefault="00976BAC" w:rsidP="00976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r w:rsidRPr="001444D0">
        <w:rPr>
          <w:sz w:val="28"/>
          <w:szCs w:val="28"/>
        </w:rPr>
        <w:t>Прием наличных денежных средств</w:t>
      </w:r>
      <w:r>
        <w:rPr>
          <w:sz w:val="28"/>
          <w:szCs w:val="28"/>
        </w:rPr>
        <w:t xml:space="preserve"> </w:t>
      </w:r>
      <w:r w:rsidRPr="001444D0">
        <w:rPr>
          <w:color w:val="FF0000"/>
          <w:sz w:val="28"/>
          <w:szCs w:val="28"/>
        </w:rPr>
        <w:t>в белорусских рублях</w:t>
      </w:r>
      <w:r>
        <w:rPr>
          <w:sz w:val="28"/>
          <w:szCs w:val="28"/>
        </w:rPr>
        <w:t xml:space="preserve"> </w:t>
      </w:r>
      <w:r w:rsidRPr="001444D0">
        <w:rPr>
          <w:sz w:val="28"/>
          <w:szCs w:val="28"/>
        </w:rPr>
        <w:t>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</w:r>
      <w:r>
        <w:rPr>
          <w:sz w:val="28"/>
          <w:szCs w:val="28"/>
        </w:rPr>
        <w:t>»</w:t>
      </w:r>
      <w:r w:rsidRPr="001B7882">
        <w:rPr>
          <w:sz w:val="28"/>
          <w:szCs w:val="28"/>
        </w:rPr>
        <w:t>;</w:t>
      </w:r>
    </w:p>
    <w:p w:rsidR="00976BAC" w:rsidRPr="00F20594" w:rsidRDefault="00093F2A" w:rsidP="00093F2A">
      <w:pPr>
        <w:pStyle w:val="a8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Pr="00BD66ED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BD66ED">
        <w:rPr>
          <w:sz w:val="28"/>
          <w:szCs w:val="28"/>
        </w:rPr>
        <w:t xml:space="preserve"> 1.8 </w:t>
      </w:r>
      <w:r>
        <w:rPr>
          <w:sz w:val="28"/>
          <w:szCs w:val="28"/>
        </w:rPr>
        <w:t>пунктов 5.2.4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Пакета операций по обслуживанию юридических лиц «Развитие», 5.2.5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Пакета операций по обслуживанию юридических лиц «</w:t>
      </w:r>
      <w:proofErr w:type="spellStart"/>
      <w:r>
        <w:rPr>
          <w:sz w:val="28"/>
          <w:szCs w:val="28"/>
        </w:rPr>
        <w:t>Оптима</w:t>
      </w:r>
      <w:proofErr w:type="spellEnd"/>
      <w:r>
        <w:rPr>
          <w:sz w:val="28"/>
          <w:szCs w:val="28"/>
        </w:rPr>
        <w:t>», 5.2.6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«Лидер», 5.2.7 Пакета операций по обслуживанию юридических лиц «Профи» </w:t>
      </w:r>
      <w:r w:rsidRPr="00BD66ED">
        <w:rPr>
          <w:sz w:val="28"/>
          <w:szCs w:val="28"/>
        </w:rPr>
        <w:t>изложить в следующей редакции:</w:t>
      </w:r>
    </w:p>
    <w:p w:rsidR="00976BAC" w:rsidRPr="004E3AB6" w:rsidRDefault="00976BAC" w:rsidP="00976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«1.8. </w:t>
      </w:r>
      <w:r w:rsidRPr="001444D0">
        <w:rPr>
          <w:sz w:val="28"/>
          <w:szCs w:val="28"/>
        </w:rPr>
        <w:t xml:space="preserve">Прием наличных денежных средств </w:t>
      </w:r>
      <w:r w:rsidRPr="001444D0">
        <w:rPr>
          <w:color w:val="FF0000"/>
          <w:sz w:val="28"/>
          <w:szCs w:val="28"/>
        </w:rPr>
        <w:t>в белорусских рублях</w:t>
      </w:r>
      <w:r>
        <w:rPr>
          <w:sz w:val="28"/>
          <w:szCs w:val="28"/>
        </w:rPr>
        <w:t xml:space="preserve"> </w:t>
      </w:r>
      <w:r w:rsidRPr="001444D0">
        <w:rPr>
          <w:sz w:val="28"/>
          <w:szCs w:val="28"/>
        </w:rPr>
        <w:t>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</w:r>
      <w:r>
        <w:rPr>
          <w:sz w:val="28"/>
          <w:szCs w:val="28"/>
        </w:rPr>
        <w:t>»</w:t>
      </w:r>
      <w:r w:rsidRPr="00F20594">
        <w:rPr>
          <w:sz w:val="28"/>
          <w:szCs w:val="28"/>
        </w:rPr>
        <w:t>;</w:t>
      </w:r>
    </w:p>
    <w:p w:rsidR="00093F2A" w:rsidRPr="00F02E7B" w:rsidRDefault="00093F2A" w:rsidP="00093F2A">
      <w:pPr>
        <w:pStyle w:val="a8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D66ED">
        <w:rPr>
          <w:sz w:val="28"/>
          <w:szCs w:val="28"/>
        </w:rPr>
        <w:t>пункт 5.2.8</w:t>
      </w:r>
      <w:r w:rsidRPr="008B6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Пакета операций по обслуживанию юридических лиц «Представительство» </w:t>
      </w:r>
      <w:r w:rsidRPr="009D0B7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F02E7B">
        <w:rPr>
          <w:sz w:val="28"/>
          <w:szCs w:val="28"/>
        </w:rPr>
        <w:t>:</w:t>
      </w:r>
    </w:p>
    <w:p w:rsidR="00093F2A" w:rsidRPr="00F02E7B" w:rsidRDefault="00093F2A" w:rsidP="00093F2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02E7B">
        <w:rPr>
          <w:sz w:val="28"/>
          <w:szCs w:val="28"/>
        </w:rPr>
        <w:t>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9238"/>
        <w:gridCol w:w="4678"/>
      </w:tblGrid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093F2A" w:rsidRPr="00310F6B" w:rsidRDefault="00093F2A" w:rsidP="00D87397">
            <w:pPr>
              <w:rPr>
                <w:b/>
                <w:bCs/>
                <w:sz w:val="24"/>
                <w:szCs w:val="24"/>
              </w:rPr>
            </w:pPr>
            <w:r w:rsidRPr="00310F6B">
              <w:rPr>
                <w:b/>
                <w:bCs/>
                <w:color w:val="FF0000"/>
                <w:sz w:val="24"/>
                <w:szCs w:val="24"/>
              </w:rPr>
              <w:t>5.2.8. ПАКЕТ операций по обслуживанию юридических лиц «Приоритет»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370.00 BYN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093F2A" w:rsidRPr="00BD66ED" w:rsidTr="00D87397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1.4.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1.5.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BD66ED">
              <w:rPr>
                <w:sz w:val="18"/>
                <w:szCs w:val="18"/>
              </w:rPr>
              <w:t>внебалансовому</w:t>
            </w:r>
            <w:proofErr w:type="spellEnd"/>
            <w:r w:rsidRPr="00BD66ED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1.6.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BD66ED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500 в месяц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0.50 BYN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1.7.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093F2A" w:rsidRPr="00BD66ED" w:rsidTr="00D8739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1.8.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наличных денежных средств в белорусских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0.07 % от суммы, </w:t>
            </w:r>
            <w:r w:rsidRPr="00BD66ED">
              <w:rPr>
                <w:b/>
                <w:bCs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1.9.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BD66ED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за один документ.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0.40 BYN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2.1.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2.2.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2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 по запросу клиента:</w:t>
            </w:r>
            <w:r w:rsidRPr="00BD66ED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BD66ED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BD66ED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принятых на инкассо;</w:t>
            </w:r>
            <w:r w:rsidRPr="00BD66ED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BD66ED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BD66ED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BD66ED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r w:rsidRPr="00BD66ED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2.4.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АС «</w:t>
            </w:r>
            <w:proofErr w:type="spellStart"/>
            <w:r w:rsidRPr="00BD66ED">
              <w:rPr>
                <w:sz w:val="18"/>
                <w:szCs w:val="18"/>
              </w:rPr>
              <w:t>SavEx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2.5.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2.6.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2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3.4.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2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</w:tbl>
    <w:p w:rsidR="00093F2A" w:rsidRPr="00BD66ED" w:rsidRDefault="00093F2A" w:rsidP="00093F2A">
      <w:pPr>
        <w:ind w:left="1069"/>
        <w:jc w:val="right"/>
        <w:rPr>
          <w:sz w:val="28"/>
          <w:szCs w:val="28"/>
          <w:lang w:val="en-US"/>
        </w:rPr>
      </w:pPr>
      <w:r w:rsidRPr="00BD66ED">
        <w:rPr>
          <w:sz w:val="28"/>
          <w:szCs w:val="28"/>
        </w:rPr>
        <w:t>»</w:t>
      </w:r>
      <w:r w:rsidRPr="00BD66ED">
        <w:rPr>
          <w:sz w:val="28"/>
          <w:szCs w:val="28"/>
          <w:lang w:val="en-US"/>
        </w:rPr>
        <w:t>;</w:t>
      </w:r>
    </w:p>
    <w:p w:rsidR="00093F2A" w:rsidRPr="00BD66ED" w:rsidRDefault="00976BAC" w:rsidP="00093F2A">
      <w:pPr>
        <w:pStyle w:val="a8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76BAC">
        <w:rPr>
          <w:sz w:val="28"/>
          <w:szCs w:val="28"/>
        </w:rPr>
        <w:t xml:space="preserve"> </w:t>
      </w:r>
      <w:r w:rsidR="00093F2A">
        <w:rPr>
          <w:sz w:val="28"/>
          <w:szCs w:val="28"/>
        </w:rPr>
        <w:t xml:space="preserve">таблицу </w:t>
      </w:r>
      <w:r w:rsidR="00093F2A" w:rsidRPr="00BD66ED">
        <w:rPr>
          <w:sz w:val="28"/>
          <w:szCs w:val="28"/>
        </w:rPr>
        <w:t>раздел</w:t>
      </w:r>
      <w:r w:rsidR="00093F2A">
        <w:rPr>
          <w:sz w:val="28"/>
          <w:szCs w:val="28"/>
        </w:rPr>
        <w:t>а</w:t>
      </w:r>
      <w:r w:rsidR="00093F2A" w:rsidRPr="00BD66ED">
        <w:rPr>
          <w:sz w:val="28"/>
          <w:szCs w:val="28"/>
        </w:rPr>
        <w:t xml:space="preserve"> 5.2 «Общие положения и порядок применения пакетов операций «Вместе к успеху» по обслуживанию юридических лиц и индивидуальных предпринимателей» главы 5 Сборника дополнить </w:t>
      </w:r>
      <w:r w:rsidR="00093F2A">
        <w:rPr>
          <w:sz w:val="28"/>
          <w:szCs w:val="28"/>
        </w:rPr>
        <w:t xml:space="preserve">пунктами 5.2.9-5.2.13 </w:t>
      </w:r>
      <w:r w:rsidR="00093F2A" w:rsidRPr="00BD66ED">
        <w:rPr>
          <w:sz w:val="28"/>
          <w:szCs w:val="28"/>
        </w:rPr>
        <w:t>следующего содержания:</w:t>
      </w:r>
    </w:p>
    <w:p w:rsidR="00093F2A" w:rsidRPr="00BD66ED" w:rsidRDefault="00093F2A" w:rsidP="00093F2A">
      <w:pPr>
        <w:pStyle w:val="a8"/>
        <w:tabs>
          <w:tab w:val="left" w:pos="1276"/>
        </w:tabs>
        <w:ind w:left="709"/>
        <w:jc w:val="both"/>
        <w:rPr>
          <w:sz w:val="28"/>
          <w:szCs w:val="28"/>
        </w:rPr>
      </w:pPr>
      <w:r w:rsidRPr="00BD66ED">
        <w:rPr>
          <w:sz w:val="28"/>
          <w:szCs w:val="28"/>
        </w:rPr>
        <w:t xml:space="preserve"> «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9238"/>
        <w:gridCol w:w="4678"/>
      </w:tblGrid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№ </w:t>
            </w:r>
            <w:proofErr w:type="gramStart"/>
            <w:r w:rsidRPr="00BD66ED">
              <w:rPr>
                <w:sz w:val="18"/>
                <w:szCs w:val="18"/>
              </w:rPr>
              <w:t>п</w:t>
            </w:r>
            <w:proofErr w:type="gramEnd"/>
            <w:r w:rsidRPr="00BD66ED">
              <w:rPr>
                <w:sz w:val="18"/>
                <w:szCs w:val="18"/>
              </w:rPr>
              <w:t>/п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093F2A" w:rsidRPr="00BD66ED" w:rsidRDefault="00093F2A" w:rsidP="00ED259D">
            <w:pPr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5.2.</w:t>
            </w:r>
            <w:r w:rsidR="00ED259D" w:rsidRPr="00ED259D">
              <w:rPr>
                <w:b/>
                <w:bCs/>
                <w:sz w:val="18"/>
                <w:szCs w:val="18"/>
              </w:rPr>
              <w:t>9</w:t>
            </w:r>
            <w:r w:rsidRPr="00BD66ED">
              <w:rPr>
                <w:b/>
                <w:bCs/>
                <w:sz w:val="18"/>
                <w:szCs w:val="18"/>
              </w:rPr>
              <w:t>. ПАКЕТ операций по обслуживанию юридических лиц «Престиж»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550.00 BYN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093F2A" w:rsidRPr="00BD66ED" w:rsidTr="00D87397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1.4.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1.5.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Выдача справки (информации) по письменному заявлению клиента,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по кредитным операциям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 русском языке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включена выдача 1 документов в месяц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1.6.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BD66ED">
              <w:rPr>
                <w:sz w:val="18"/>
                <w:szCs w:val="18"/>
              </w:rPr>
              <w:t>внебалансовому</w:t>
            </w:r>
            <w:proofErr w:type="spellEnd"/>
            <w:r w:rsidRPr="00BD66ED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1.7.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BD66ED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1000 в месяц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0.40 BYN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1.8.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093F2A" w:rsidRPr="00BD66ED" w:rsidTr="00D87397">
        <w:trPr>
          <w:trHeight w:val="6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1.9.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наличных денежных средств в белорусских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0.06 % от суммы, </w:t>
            </w:r>
            <w:r w:rsidRPr="00BD66ED">
              <w:rPr>
                <w:b/>
                <w:bCs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1.10.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BD66ED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за один документ.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0.35 BYN</w:t>
            </w:r>
          </w:p>
        </w:tc>
      </w:tr>
      <w:tr w:rsidR="00093F2A" w:rsidRPr="00BD66ED" w:rsidTr="00D8739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1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 по запросу клиента:</w:t>
            </w:r>
            <w:r w:rsidRPr="00BD66ED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BD66ED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BD66ED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принятых на инкассо;</w:t>
            </w:r>
            <w:r w:rsidRPr="00BD66ED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BD66ED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BD66ED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BD66ED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r w:rsidRPr="00BD66ED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2.4.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АС «</w:t>
            </w:r>
            <w:proofErr w:type="spellStart"/>
            <w:r w:rsidRPr="00BD66ED">
              <w:rPr>
                <w:sz w:val="18"/>
                <w:szCs w:val="18"/>
              </w:rPr>
              <w:t>SavEx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2.5.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2.6.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3.1.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2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3.4.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2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</w:tbl>
    <w:p w:rsidR="00093F2A" w:rsidRPr="00BD66ED" w:rsidRDefault="00093F2A" w:rsidP="00093F2A">
      <w:pPr>
        <w:ind w:firstLine="709"/>
        <w:jc w:val="both"/>
        <w:rPr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9238"/>
        <w:gridCol w:w="4678"/>
      </w:tblGrid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№ п/п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093F2A" w:rsidRPr="00BD66ED" w:rsidRDefault="00093F2A" w:rsidP="00ED259D">
            <w:pPr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5.2.1</w:t>
            </w:r>
            <w:r w:rsidR="00ED259D" w:rsidRPr="0077740F">
              <w:rPr>
                <w:b/>
                <w:bCs/>
                <w:sz w:val="18"/>
                <w:szCs w:val="18"/>
              </w:rPr>
              <w:t>0</w:t>
            </w:r>
            <w:r w:rsidRPr="00BD66ED">
              <w:rPr>
                <w:b/>
                <w:bCs/>
                <w:sz w:val="18"/>
                <w:szCs w:val="18"/>
              </w:rPr>
              <w:t>. ПАКЕТ операций по обслуживанию юридических лиц «Элит»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800.00 BYN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093F2A" w:rsidRPr="00BD66ED" w:rsidTr="00D87397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1.4.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1.5.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Выдача справки (информации) по письменному заявлению клиента,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по кредитным операциям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 русском языке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включена выдача 2 документов в месяц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1.6.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BD66ED">
              <w:rPr>
                <w:sz w:val="18"/>
                <w:szCs w:val="18"/>
              </w:rPr>
              <w:t>внебалансовому</w:t>
            </w:r>
            <w:proofErr w:type="spellEnd"/>
            <w:r w:rsidRPr="00BD66ED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1.7.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BD66ED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ограничений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1.8.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093F2A" w:rsidRPr="00BD66ED" w:rsidTr="00D87397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1.9.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наличных денежных средств в белорусских рублях (за исключением расчётов наличными денежными средствами между юридическими лицами, индивидуальными предпринимателями) для зачисления на счета клиента Банка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0.06 % от суммы, </w:t>
            </w:r>
            <w:r w:rsidRPr="00BD66ED">
              <w:rPr>
                <w:b/>
                <w:bCs/>
                <w:sz w:val="18"/>
                <w:szCs w:val="18"/>
              </w:rPr>
              <w:br/>
              <w:t>минимум 2.00 BYN (по одному документу)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1.10.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Прием и обработка расчетных документов, представленных на инкассо:</w:t>
            </w:r>
            <w:r w:rsidRPr="00BD66ED">
              <w:rPr>
                <w:sz w:val="18"/>
                <w:szCs w:val="18"/>
              </w:rPr>
              <w:br/>
              <w:t>платежных требований, переданных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за один документ.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0.35 BYN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2.1.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1 подключение </w:t>
            </w:r>
            <w:r w:rsidRPr="00BD66ED">
              <w:rPr>
                <w:b/>
                <w:bCs/>
                <w:sz w:val="18"/>
                <w:szCs w:val="18"/>
              </w:rPr>
              <w:br/>
              <w:t>к одной из подсистем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 по запросу клиента:</w:t>
            </w:r>
            <w:r w:rsidRPr="00BD66ED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BD66ED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BD66ED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принятых на инкассо;</w:t>
            </w:r>
            <w:r w:rsidRPr="00BD66ED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BD66ED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BD66ED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BD66ED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r w:rsidRPr="00BD66ED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2.4.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АС «</w:t>
            </w:r>
            <w:proofErr w:type="spellStart"/>
            <w:r w:rsidRPr="00BD66ED">
              <w:rPr>
                <w:sz w:val="18"/>
                <w:szCs w:val="18"/>
              </w:rPr>
              <w:t>SavEx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2.5.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2.6.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2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3.4.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3 карточек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</w:tbl>
    <w:p w:rsidR="00093F2A" w:rsidRPr="00BD66ED" w:rsidRDefault="00093F2A" w:rsidP="00093F2A">
      <w:pPr>
        <w:ind w:firstLine="709"/>
        <w:jc w:val="both"/>
        <w:rPr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9238"/>
        <w:gridCol w:w="4678"/>
      </w:tblGrid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№ п/п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093F2A" w:rsidRPr="00BD66ED" w:rsidRDefault="00093F2A" w:rsidP="00ED259D">
            <w:pPr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5.2.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ED259D" w:rsidRPr="0077740F">
              <w:rPr>
                <w:b/>
                <w:bCs/>
                <w:sz w:val="18"/>
                <w:szCs w:val="18"/>
              </w:rPr>
              <w:t>1</w:t>
            </w:r>
            <w:r w:rsidRPr="00BD66ED">
              <w:rPr>
                <w:b/>
                <w:bCs/>
                <w:sz w:val="18"/>
                <w:szCs w:val="18"/>
              </w:rPr>
              <w:t>. ПАКЕТ операций по обслуживанию юридических лиц «Партнер»*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20.00 BYN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093F2A" w:rsidRPr="00BD66ED" w:rsidTr="00D87397">
        <w:trPr>
          <w:trHeight w:val="8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1.2.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1.3.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Ведение текущих (расчетных) банковских счетов в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1.4.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BD66ED">
              <w:rPr>
                <w:sz w:val="18"/>
                <w:szCs w:val="18"/>
              </w:rPr>
              <w:t>внебалансовому</w:t>
            </w:r>
            <w:proofErr w:type="spellEnd"/>
            <w:r w:rsidRPr="00BD66ED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1.5.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BD66ED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10 в месяц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1.00 BYN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1.6.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1 подключение </w:t>
            </w:r>
            <w:r w:rsidRPr="00BD66ED">
              <w:rPr>
                <w:b/>
                <w:bCs/>
                <w:sz w:val="18"/>
                <w:szCs w:val="18"/>
              </w:rPr>
              <w:br/>
              <w:t>к одной из подсистем</w:t>
            </w:r>
          </w:p>
        </w:tc>
      </w:tr>
      <w:tr w:rsidR="00093F2A" w:rsidRPr="00BD66ED" w:rsidTr="00D8739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327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2.3.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 по запросу клиента:</w:t>
            </w:r>
            <w:r w:rsidRPr="00BD66ED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BD66ED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BD66ED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принятых на инкассо;</w:t>
            </w:r>
            <w:r w:rsidRPr="00BD66ED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BD66ED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BD66ED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BD66ED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r w:rsidRPr="00BD66ED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АС «</w:t>
            </w:r>
            <w:proofErr w:type="spellStart"/>
            <w:r w:rsidRPr="00BD66ED">
              <w:rPr>
                <w:sz w:val="18"/>
                <w:szCs w:val="18"/>
              </w:rPr>
              <w:t>SavEx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2.5.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2.6.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3.1.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3.2.</w:t>
            </w:r>
          </w:p>
        </w:tc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/>
                <w:bCs/>
                <w:sz w:val="18"/>
                <w:szCs w:val="18"/>
              </w:rPr>
              <w:br/>
              <w:t>1 карточка (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/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/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E31649" w:rsidRDefault="00093F2A" w:rsidP="00D87397">
            <w:pPr>
              <w:jc w:val="both"/>
              <w:rPr>
                <w:b/>
                <w:sz w:val="18"/>
                <w:szCs w:val="18"/>
              </w:rPr>
            </w:pPr>
            <w:bookmarkStart w:id="0" w:name="_GoBack"/>
            <w:r w:rsidRPr="00E31649">
              <w:rPr>
                <w:b/>
                <w:color w:val="FF0000"/>
                <w:sz w:val="18"/>
                <w:szCs w:val="18"/>
              </w:rPr>
              <w:t>Примечание: *Действие настоящего Пакета операций распространяется на клиентов, не имеющих в Банке текущих (расчетных) банковских счетов в белорусских рублях.</w:t>
            </w:r>
            <w:bookmarkEnd w:id="0"/>
          </w:p>
        </w:tc>
      </w:tr>
    </w:tbl>
    <w:p w:rsidR="00093F2A" w:rsidRPr="00BD66ED" w:rsidRDefault="00093F2A" w:rsidP="00093F2A">
      <w:pPr>
        <w:ind w:left="1069"/>
        <w:jc w:val="right"/>
        <w:rPr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00"/>
        <w:gridCol w:w="8520"/>
        <w:gridCol w:w="5396"/>
      </w:tblGrid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№ п/п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Основной размер вознаграждения</w:t>
            </w:r>
          </w:p>
        </w:tc>
      </w:tr>
      <w:tr w:rsidR="00093F2A" w:rsidRPr="00BD66ED" w:rsidTr="00D87397">
        <w:trPr>
          <w:trHeight w:val="30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93F2A" w:rsidRPr="00BD66ED" w:rsidRDefault="00093F2A" w:rsidP="00ED259D">
            <w:pPr>
              <w:rPr>
                <w:b/>
                <w:bCs/>
                <w:sz w:val="18"/>
                <w:szCs w:val="18"/>
              </w:rPr>
            </w:pPr>
            <w:r w:rsidRPr="00BD66ED">
              <w:rPr>
                <w:b/>
                <w:bCs/>
                <w:sz w:val="18"/>
                <w:szCs w:val="18"/>
              </w:rPr>
              <w:t>5.2.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ED259D" w:rsidRPr="0077740F">
              <w:rPr>
                <w:b/>
                <w:bCs/>
                <w:sz w:val="18"/>
                <w:szCs w:val="18"/>
              </w:rPr>
              <w:t>2</w:t>
            </w:r>
            <w:r w:rsidRPr="00BD66ED">
              <w:rPr>
                <w:b/>
                <w:bCs/>
                <w:sz w:val="18"/>
                <w:szCs w:val="18"/>
              </w:rPr>
              <w:t>. ПАКЕТ операций по обслуживанию юридических лиц «Представительство»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ЕЖЕМЕСЯЧНАЯ ПЛАТА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15.00 BYN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текущего (расчетного) банковского счета/ субсчета/ специального счета в белорусских рублях  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В Пакет операций включено открытие 1 счета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1.2.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Открытие текущих (расчетных) банковских счетов, субсчетов, специальных счетов в иностранной валюте  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093F2A" w:rsidRPr="00BD66ED" w:rsidTr="00D87397">
        <w:trPr>
          <w:trHeight w:val="6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Ведение картотеки к </w:t>
            </w:r>
            <w:proofErr w:type="spellStart"/>
            <w:r w:rsidRPr="00BD66ED">
              <w:rPr>
                <w:sz w:val="18"/>
                <w:szCs w:val="18"/>
              </w:rPr>
              <w:t>внебалансовому</w:t>
            </w:r>
            <w:proofErr w:type="spellEnd"/>
            <w:r w:rsidRPr="00BD66ED">
              <w:rPr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66E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93F2A" w:rsidRPr="00BD66ED" w:rsidTr="00D8739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1.6.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Исполнение переводов в системе BISS: </w:t>
            </w:r>
            <w:r w:rsidRPr="00BD66ED">
              <w:rPr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15 в месяц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0.70 BYN</w:t>
            </w:r>
          </w:p>
        </w:tc>
      </w:tr>
      <w:tr w:rsidR="00093F2A" w:rsidRPr="00BD66ED" w:rsidTr="00D8739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1.7.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2.2.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228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Представление дополнительной информации в подсистеме «Интернет-клиент» системы ДБО «BS-</w:t>
            </w:r>
            <w:proofErr w:type="spellStart"/>
            <w:r w:rsidRPr="00BD66ED">
              <w:rPr>
                <w:sz w:val="18"/>
                <w:szCs w:val="18"/>
              </w:rPr>
              <w:t>Client</w:t>
            </w:r>
            <w:proofErr w:type="spellEnd"/>
            <w:r w:rsidRPr="00BD66ED">
              <w:rPr>
                <w:sz w:val="18"/>
                <w:szCs w:val="18"/>
              </w:rPr>
              <w:t>» по запросу клиента:</w:t>
            </w:r>
            <w:r w:rsidRPr="00BD66ED">
              <w:rPr>
                <w:sz w:val="18"/>
                <w:szCs w:val="18"/>
              </w:rPr>
              <w:br/>
              <w:t xml:space="preserve">о состоянии картотеки; </w:t>
            </w:r>
            <w:r w:rsidRPr="00BD66ED">
              <w:rPr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BD66ED">
              <w:rPr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BD66ED">
              <w:rPr>
                <w:sz w:val="18"/>
                <w:szCs w:val="18"/>
              </w:rPr>
              <w:t>т.ч</w:t>
            </w:r>
            <w:proofErr w:type="spellEnd"/>
            <w:r w:rsidRPr="00BD66ED">
              <w:rPr>
                <w:sz w:val="18"/>
                <w:szCs w:val="18"/>
              </w:rPr>
              <w:t>. принятых на инкассо;</w:t>
            </w:r>
            <w:r w:rsidRPr="00BD66ED">
              <w:rPr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BD66ED">
              <w:rPr>
                <w:sz w:val="18"/>
                <w:szCs w:val="18"/>
              </w:rPr>
              <w:br/>
              <w:t>о поступивших/отозванных распоряжениях ИМНС;</w:t>
            </w:r>
            <w:r w:rsidRPr="00BD66ED">
              <w:rPr>
                <w:sz w:val="18"/>
                <w:szCs w:val="18"/>
              </w:rPr>
              <w:br/>
              <w:t>об открытых (действующих) депозитах;</w:t>
            </w:r>
            <w:r w:rsidRPr="00BD66ED">
              <w:rPr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r w:rsidRPr="00BD66ED">
              <w:rPr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Подключение клиента к АС «</w:t>
            </w:r>
            <w:proofErr w:type="spellStart"/>
            <w:r w:rsidRPr="00BD66ED">
              <w:rPr>
                <w:sz w:val="18"/>
                <w:szCs w:val="18"/>
              </w:rPr>
              <w:t>SavEx</w:t>
            </w:r>
            <w:proofErr w:type="spellEnd"/>
            <w:r w:rsidRPr="00BD66ED">
              <w:rPr>
                <w:sz w:val="18"/>
                <w:szCs w:val="18"/>
              </w:rPr>
              <w:t>»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 xml:space="preserve">Подключение клиента к системе «Мобильный клиент»  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2.6.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белорусских рублях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белорусских рублях в течение срока ее действия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Cs/>
                <w:sz w:val="18"/>
                <w:szCs w:val="18"/>
              </w:rPr>
              <w:br/>
              <w:t>1 карточки (</w:t>
            </w:r>
            <w:proofErr w:type="spellStart"/>
            <w:r w:rsidRPr="00BD66ED">
              <w:rPr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6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3.4.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 xml:space="preserve">В Пакет операций включено обслуживание </w:t>
            </w:r>
            <w:r w:rsidRPr="00BD66ED">
              <w:rPr>
                <w:bCs/>
                <w:sz w:val="18"/>
                <w:szCs w:val="18"/>
              </w:rPr>
              <w:br/>
              <w:t>1 карточки (</w:t>
            </w:r>
            <w:proofErr w:type="spellStart"/>
            <w:r w:rsidRPr="00BD66ED">
              <w:rPr>
                <w:bCs/>
                <w:sz w:val="18"/>
                <w:szCs w:val="18"/>
              </w:rPr>
              <w:t>Master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Card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и/или </w:t>
            </w:r>
            <w:proofErr w:type="spellStart"/>
            <w:r w:rsidRPr="00BD66ED">
              <w:rPr>
                <w:bCs/>
                <w:sz w:val="18"/>
                <w:szCs w:val="18"/>
              </w:rPr>
              <w:t>Visa</w:t>
            </w:r>
            <w:proofErr w:type="spellEnd"/>
            <w:r w:rsidRPr="00BD66E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D66ED">
              <w:rPr>
                <w:bCs/>
                <w:sz w:val="18"/>
                <w:szCs w:val="18"/>
              </w:rPr>
              <w:t>Business</w:t>
            </w:r>
            <w:proofErr w:type="spellEnd"/>
            <w:r w:rsidRPr="00BD66ED">
              <w:rPr>
                <w:bCs/>
                <w:sz w:val="18"/>
                <w:szCs w:val="18"/>
              </w:rPr>
              <w:t>) единожды</w:t>
            </w:r>
          </w:p>
        </w:tc>
      </w:tr>
      <w:tr w:rsidR="00093F2A" w:rsidRPr="00BD66ED" w:rsidTr="00D8739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ДОПОЛНИТЕЛЬНЫЕ УСЛУГИ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 </w:t>
            </w:r>
          </w:p>
        </w:tc>
      </w:tr>
      <w:tr w:rsidR="00093F2A" w:rsidRPr="00BD66ED" w:rsidTr="00D87397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4.1.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2A" w:rsidRPr="00BD66ED" w:rsidRDefault="00093F2A" w:rsidP="00D87397">
            <w:pPr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Зачисление заработной платы и иных приравненных к ней платежей (в том числе вытекающих из гражданско-правовых отношений) на счета физических лиц от юридических лиц (индивидуального предпринимателя) по платежным документам и спискам, поступившим в форме электронных документов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F2A" w:rsidRPr="00BD66ED" w:rsidRDefault="00093F2A" w:rsidP="00D87397">
            <w:pPr>
              <w:jc w:val="center"/>
              <w:rPr>
                <w:bCs/>
                <w:sz w:val="18"/>
                <w:szCs w:val="18"/>
              </w:rPr>
            </w:pPr>
            <w:r w:rsidRPr="00BD66ED">
              <w:rPr>
                <w:bCs/>
                <w:sz w:val="18"/>
                <w:szCs w:val="18"/>
              </w:rPr>
              <w:t>0,4% от суммы</w:t>
            </w:r>
            <w:r w:rsidRPr="00BD66ED">
              <w:rPr>
                <w:bCs/>
                <w:sz w:val="18"/>
                <w:szCs w:val="18"/>
              </w:rPr>
              <w:br/>
              <w:t xml:space="preserve">при подключении к зарплатной программе </w:t>
            </w:r>
            <w:r w:rsidRPr="00BD66ED">
              <w:rPr>
                <w:bCs/>
                <w:sz w:val="18"/>
                <w:szCs w:val="18"/>
              </w:rPr>
              <w:br/>
              <w:t>"Стандарт"</w:t>
            </w:r>
          </w:p>
        </w:tc>
      </w:tr>
      <w:tr w:rsidR="00093F2A" w:rsidRPr="00BD66ED" w:rsidTr="00D87397">
        <w:trPr>
          <w:trHeight w:val="630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F2A" w:rsidRPr="00BD66ED" w:rsidRDefault="00093F2A" w:rsidP="00D87397">
            <w:pPr>
              <w:jc w:val="both"/>
              <w:rPr>
                <w:sz w:val="18"/>
                <w:szCs w:val="18"/>
              </w:rPr>
            </w:pPr>
            <w:r w:rsidRPr="00BD66ED">
              <w:rPr>
                <w:sz w:val="18"/>
                <w:szCs w:val="18"/>
              </w:rPr>
              <w:t>Примечание: *Действие настоящего пакета операций распространяется на представительства иностранных организаций, дипломатические и иные официальные представительства, консульские учреждения иностранных государств, филиалы и представительства международных организаций, находящиеся в Республике Беларусь, а также на международные организации.</w:t>
            </w:r>
          </w:p>
        </w:tc>
      </w:tr>
    </w:tbl>
    <w:p w:rsidR="00093F2A" w:rsidRPr="00093F2A" w:rsidRDefault="00093F2A" w:rsidP="00093F2A">
      <w:pPr>
        <w:ind w:left="1069"/>
        <w:jc w:val="right"/>
        <w:rPr>
          <w:sz w:val="28"/>
          <w:szCs w:val="28"/>
        </w:rPr>
      </w:pPr>
      <w:r w:rsidRPr="00BD66ED">
        <w:rPr>
          <w:sz w:val="28"/>
          <w:szCs w:val="28"/>
        </w:rPr>
        <w:t>»</w:t>
      </w:r>
      <w:r w:rsidRPr="00BD66ED">
        <w:rPr>
          <w:sz w:val="28"/>
          <w:szCs w:val="28"/>
          <w:lang w:val="en-US"/>
        </w:rPr>
        <w:t>;</w:t>
      </w:r>
    </w:p>
    <w:p w:rsidR="00976BAC" w:rsidRPr="00976BAC" w:rsidRDefault="00976BAC" w:rsidP="00976BAC">
      <w:pPr>
        <w:ind w:left="1069"/>
        <w:rPr>
          <w:sz w:val="28"/>
          <w:szCs w:val="28"/>
          <w:lang w:val="en-US"/>
        </w:rPr>
      </w:pPr>
    </w:p>
    <w:sectPr w:rsidR="00976BAC" w:rsidRPr="00976BAC" w:rsidSect="00737B51">
      <w:headerReference w:type="even" r:id="rId9"/>
      <w:headerReference w:type="default" r:id="rId10"/>
      <w:pgSz w:w="16838" w:h="11906" w:orient="landscape" w:code="9"/>
      <w:pgMar w:top="567" w:right="454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8E" w:rsidRDefault="004E008E" w:rsidP="00E668E4">
      <w:r>
        <w:separator/>
      </w:r>
    </w:p>
  </w:endnote>
  <w:endnote w:type="continuationSeparator" w:id="0">
    <w:p w:rsidR="004E008E" w:rsidRDefault="004E008E" w:rsidP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8E" w:rsidRDefault="004E008E" w:rsidP="00E668E4">
      <w:r>
        <w:separator/>
      </w:r>
    </w:p>
  </w:footnote>
  <w:footnote w:type="continuationSeparator" w:id="0">
    <w:p w:rsidR="004E008E" w:rsidRDefault="004E008E" w:rsidP="00E66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BAC" w:rsidRDefault="00976BAC" w:rsidP="007A39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6BAC" w:rsidRDefault="00976B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76BAC" w:rsidRPr="0017492A" w:rsidRDefault="00976BAC">
        <w:pPr>
          <w:pStyle w:val="a6"/>
          <w:jc w:val="center"/>
          <w:rPr>
            <w:sz w:val="28"/>
            <w:szCs w:val="28"/>
          </w:rPr>
        </w:pPr>
        <w:r w:rsidRPr="0017492A">
          <w:rPr>
            <w:sz w:val="28"/>
            <w:szCs w:val="28"/>
          </w:rPr>
          <w:fldChar w:fldCharType="begin"/>
        </w:r>
        <w:r w:rsidRPr="0017492A">
          <w:rPr>
            <w:sz w:val="28"/>
            <w:szCs w:val="28"/>
          </w:rPr>
          <w:instrText>PAGE   \* MERGEFORMAT</w:instrText>
        </w:r>
        <w:r w:rsidRPr="0017492A">
          <w:rPr>
            <w:sz w:val="28"/>
            <w:szCs w:val="28"/>
          </w:rPr>
          <w:fldChar w:fldCharType="separate"/>
        </w:r>
        <w:r w:rsidR="00E31649">
          <w:rPr>
            <w:noProof/>
            <w:sz w:val="28"/>
            <w:szCs w:val="28"/>
          </w:rPr>
          <w:t>8</w:t>
        </w:r>
        <w:r w:rsidRPr="0017492A">
          <w:rPr>
            <w:sz w:val="28"/>
            <w:szCs w:val="28"/>
          </w:rPr>
          <w:fldChar w:fldCharType="end"/>
        </w:r>
      </w:p>
    </w:sdtContent>
  </w:sdt>
  <w:p w:rsidR="00976BAC" w:rsidRDefault="00976B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99D"/>
    <w:multiLevelType w:val="multilevel"/>
    <w:tmpl w:val="7C08DF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2160"/>
      </w:pPr>
      <w:rPr>
        <w:rFonts w:hint="default"/>
      </w:rPr>
    </w:lvl>
  </w:abstractNum>
  <w:abstractNum w:abstractNumId="1">
    <w:nsid w:val="02F34F08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3FD25A4"/>
    <w:multiLevelType w:val="hybridMultilevel"/>
    <w:tmpl w:val="F7C0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C7255"/>
    <w:multiLevelType w:val="hybridMultilevel"/>
    <w:tmpl w:val="440A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A108E"/>
    <w:multiLevelType w:val="hybridMultilevel"/>
    <w:tmpl w:val="9CF4B44A"/>
    <w:lvl w:ilvl="0" w:tplc="BCE073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2A284C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0DF35A51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0F527E08"/>
    <w:multiLevelType w:val="hybridMultilevel"/>
    <w:tmpl w:val="0DE8C084"/>
    <w:lvl w:ilvl="0" w:tplc="06F8D24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643B5"/>
    <w:multiLevelType w:val="hybridMultilevel"/>
    <w:tmpl w:val="C2606578"/>
    <w:lvl w:ilvl="0" w:tplc="A15CF07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F59E0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6E042D6"/>
    <w:multiLevelType w:val="hybridMultilevel"/>
    <w:tmpl w:val="090C559E"/>
    <w:lvl w:ilvl="0" w:tplc="BE3232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D000B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8E6541C"/>
    <w:multiLevelType w:val="hybridMultilevel"/>
    <w:tmpl w:val="3926DB2E"/>
    <w:lvl w:ilvl="0" w:tplc="A0905CB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9A875BC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A7245FC"/>
    <w:multiLevelType w:val="multilevel"/>
    <w:tmpl w:val="4192C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E7C3F59"/>
    <w:multiLevelType w:val="hybridMultilevel"/>
    <w:tmpl w:val="7A2A22D0"/>
    <w:lvl w:ilvl="0" w:tplc="12FEE68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4779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1766C3C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4B02D27"/>
    <w:multiLevelType w:val="hybridMultilevel"/>
    <w:tmpl w:val="B8122EC2"/>
    <w:lvl w:ilvl="0" w:tplc="E514E47A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E97FB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28D5362A"/>
    <w:multiLevelType w:val="multilevel"/>
    <w:tmpl w:val="DF4CF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29F83DB6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2C1D1AD6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2F910B5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4111F99"/>
    <w:multiLevelType w:val="hybridMultilevel"/>
    <w:tmpl w:val="0C7A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DC45C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B77167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D31345F"/>
    <w:multiLevelType w:val="hybridMultilevel"/>
    <w:tmpl w:val="9F26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C441D9"/>
    <w:multiLevelType w:val="hybridMultilevel"/>
    <w:tmpl w:val="9E42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C94BF3"/>
    <w:multiLevelType w:val="hybridMultilevel"/>
    <w:tmpl w:val="3D7C3328"/>
    <w:lvl w:ilvl="0" w:tplc="BBC0316A">
      <w:start w:val="1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0">
    <w:nsid w:val="401643B7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47931132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47B22D1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47F7201D"/>
    <w:multiLevelType w:val="hybridMultilevel"/>
    <w:tmpl w:val="E11C8584"/>
    <w:lvl w:ilvl="0" w:tplc="0F2C8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80F18C5"/>
    <w:multiLevelType w:val="hybridMultilevel"/>
    <w:tmpl w:val="93BE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8669E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4FFA6871"/>
    <w:multiLevelType w:val="hybridMultilevel"/>
    <w:tmpl w:val="708E82C8"/>
    <w:lvl w:ilvl="0" w:tplc="FB26970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7">
    <w:nsid w:val="56610CB7"/>
    <w:multiLevelType w:val="multilevel"/>
    <w:tmpl w:val="E7C863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58CA13AA"/>
    <w:multiLevelType w:val="hybridMultilevel"/>
    <w:tmpl w:val="AEB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B1299"/>
    <w:multiLevelType w:val="hybridMultilevel"/>
    <w:tmpl w:val="AB36EAFE"/>
    <w:lvl w:ilvl="0" w:tplc="2DB018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F758F"/>
    <w:multiLevelType w:val="multilevel"/>
    <w:tmpl w:val="9440E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1">
    <w:nsid w:val="64AD001B"/>
    <w:multiLevelType w:val="hybridMultilevel"/>
    <w:tmpl w:val="8D00AABC"/>
    <w:lvl w:ilvl="0" w:tplc="79AC2F0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C10C7A"/>
    <w:multiLevelType w:val="hybridMultilevel"/>
    <w:tmpl w:val="3B7C646E"/>
    <w:lvl w:ilvl="0" w:tplc="E18C58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E6A1D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6A0628F2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6F706C28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0552E78"/>
    <w:multiLevelType w:val="multilevel"/>
    <w:tmpl w:val="CC46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7">
    <w:nsid w:val="7FC32058"/>
    <w:multiLevelType w:val="hybridMultilevel"/>
    <w:tmpl w:val="A2423E0C"/>
    <w:lvl w:ilvl="0" w:tplc="957ACD4E">
      <w:start w:val="14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8"/>
  </w:num>
  <w:num w:numId="2">
    <w:abstractNumId w:val="21"/>
  </w:num>
  <w:num w:numId="3">
    <w:abstractNumId w:val="41"/>
  </w:num>
  <w:num w:numId="4">
    <w:abstractNumId w:val="19"/>
  </w:num>
  <w:num w:numId="5">
    <w:abstractNumId w:val="44"/>
  </w:num>
  <w:num w:numId="6">
    <w:abstractNumId w:val="13"/>
  </w:num>
  <w:num w:numId="7">
    <w:abstractNumId w:val="9"/>
  </w:num>
  <w:num w:numId="8">
    <w:abstractNumId w:val="11"/>
  </w:num>
  <w:num w:numId="9">
    <w:abstractNumId w:val="46"/>
  </w:num>
  <w:num w:numId="10">
    <w:abstractNumId w:val="23"/>
  </w:num>
  <w:num w:numId="11">
    <w:abstractNumId w:val="32"/>
  </w:num>
  <w:num w:numId="12">
    <w:abstractNumId w:val="6"/>
  </w:num>
  <w:num w:numId="13">
    <w:abstractNumId w:val="31"/>
  </w:num>
  <w:num w:numId="14">
    <w:abstractNumId w:val="35"/>
  </w:num>
  <w:num w:numId="15">
    <w:abstractNumId w:val="37"/>
  </w:num>
  <w:num w:numId="16">
    <w:abstractNumId w:val="26"/>
  </w:num>
  <w:num w:numId="17">
    <w:abstractNumId w:val="45"/>
  </w:num>
  <w:num w:numId="18">
    <w:abstractNumId w:val="30"/>
  </w:num>
  <w:num w:numId="19">
    <w:abstractNumId w:val="43"/>
  </w:num>
  <w:num w:numId="20">
    <w:abstractNumId w:val="25"/>
  </w:num>
  <w:num w:numId="21">
    <w:abstractNumId w:val="2"/>
  </w:num>
  <w:num w:numId="22">
    <w:abstractNumId w:val="27"/>
  </w:num>
  <w:num w:numId="23">
    <w:abstractNumId w:val="38"/>
  </w:num>
  <w:num w:numId="24">
    <w:abstractNumId w:val="14"/>
  </w:num>
  <w:num w:numId="25">
    <w:abstractNumId w:val="3"/>
  </w:num>
  <w:num w:numId="26">
    <w:abstractNumId w:val="12"/>
  </w:num>
  <w:num w:numId="27">
    <w:abstractNumId w:val="17"/>
  </w:num>
  <w:num w:numId="28">
    <w:abstractNumId w:val="42"/>
  </w:num>
  <w:num w:numId="29">
    <w:abstractNumId w:val="18"/>
  </w:num>
  <w:num w:numId="30">
    <w:abstractNumId w:val="22"/>
  </w:num>
  <w:num w:numId="31">
    <w:abstractNumId w:val="36"/>
  </w:num>
  <w:num w:numId="32">
    <w:abstractNumId w:val="10"/>
  </w:num>
  <w:num w:numId="33">
    <w:abstractNumId w:val="4"/>
  </w:num>
  <w:num w:numId="34">
    <w:abstractNumId w:val="8"/>
  </w:num>
  <w:num w:numId="35">
    <w:abstractNumId w:val="47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7"/>
  </w:num>
  <w:num w:numId="39">
    <w:abstractNumId w:val="0"/>
  </w:num>
  <w:num w:numId="40">
    <w:abstractNumId w:val="16"/>
  </w:num>
  <w:num w:numId="41">
    <w:abstractNumId w:val="34"/>
  </w:num>
  <w:num w:numId="42">
    <w:abstractNumId w:val="29"/>
  </w:num>
  <w:num w:numId="43">
    <w:abstractNumId w:val="15"/>
  </w:num>
  <w:num w:numId="44">
    <w:abstractNumId w:val="39"/>
  </w:num>
  <w:num w:numId="45">
    <w:abstractNumId w:val="33"/>
  </w:num>
  <w:num w:numId="46">
    <w:abstractNumId w:val="20"/>
  </w:num>
  <w:num w:numId="47">
    <w:abstractNumId w:val="1"/>
  </w:num>
  <w:num w:numId="48">
    <w:abstractNumId w:val="40"/>
  </w:num>
  <w:num w:numId="4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5"/>
    <w:rsid w:val="000027EE"/>
    <w:rsid w:val="00006551"/>
    <w:rsid w:val="00006A1F"/>
    <w:rsid w:val="000121DC"/>
    <w:rsid w:val="000155FF"/>
    <w:rsid w:val="00015FCD"/>
    <w:rsid w:val="00016A3A"/>
    <w:rsid w:val="00017CEB"/>
    <w:rsid w:val="00022C45"/>
    <w:rsid w:val="00024707"/>
    <w:rsid w:val="00025A05"/>
    <w:rsid w:val="00033B90"/>
    <w:rsid w:val="00034694"/>
    <w:rsid w:val="00037ECA"/>
    <w:rsid w:val="0004101F"/>
    <w:rsid w:val="000411ED"/>
    <w:rsid w:val="000439D9"/>
    <w:rsid w:val="000456DD"/>
    <w:rsid w:val="00045B17"/>
    <w:rsid w:val="00046F01"/>
    <w:rsid w:val="00047685"/>
    <w:rsid w:val="000517CA"/>
    <w:rsid w:val="0005390A"/>
    <w:rsid w:val="00054702"/>
    <w:rsid w:val="00060005"/>
    <w:rsid w:val="000621A7"/>
    <w:rsid w:val="000635FA"/>
    <w:rsid w:val="00071953"/>
    <w:rsid w:val="000742F4"/>
    <w:rsid w:val="00075716"/>
    <w:rsid w:val="000760B4"/>
    <w:rsid w:val="0007732A"/>
    <w:rsid w:val="00077BB2"/>
    <w:rsid w:val="00080001"/>
    <w:rsid w:val="000808B0"/>
    <w:rsid w:val="000810DD"/>
    <w:rsid w:val="00081C92"/>
    <w:rsid w:val="00082070"/>
    <w:rsid w:val="00082677"/>
    <w:rsid w:val="00083119"/>
    <w:rsid w:val="0008362B"/>
    <w:rsid w:val="00090C7F"/>
    <w:rsid w:val="00093F2A"/>
    <w:rsid w:val="0009497D"/>
    <w:rsid w:val="000962D6"/>
    <w:rsid w:val="0009690D"/>
    <w:rsid w:val="00097D59"/>
    <w:rsid w:val="000A05C6"/>
    <w:rsid w:val="000A3289"/>
    <w:rsid w:val="000A42CC"/>
    <w:rsid w:val="000A4D7E"/>
    <w:rsid w:val="000A6259"/>
    <w:rsid w:val="000A7D40"/>
    <w:rsid w:val="000B1A75"/>
    <w:rsid w:val="000B1C76"/>
    <w:rsid w:val="000B36E9"/>
    <w:rsid w:val="000B3EB5"/>
    <w:rsid w:val="000B3FE0"/>
    <w:rsid w:val="000B6975"/>
    <w:rsid w:val="000B741D"/>
    <w:rsid w:val="000C204B"/>
    <w:rsid w:val="000C3A03"/>
    <w:rsid w:val="000C3DF6"/>
    <w:rsid w:val="000C56CD"/>
    <w:rsid w:val="000C5982"/>
    <w:rsid w:val="000C6C18"/>
    <w:rsid w:val="000D2E78"/>
    <w:rsid w:val="000D55BA"/>
    <w:rsid w:val="000D59D1"/>
    <w:rsid w:val="000D5C74"/>
    <w:rsid w:val="000D7269"/>
    <w:rsid w:val="000D7E43"/>
    <w:rsid w:val="000E056B"/>
    <w:rsid w:val="000E2573"/>
    <w:rsid w:val="000E34A0"/>
    <w:rsid w:val="000E528A"/>
    <w:rsid w:val="000E5312"/>
    <w:rsid w:val="000F1A1A"/>
    <w:rsid w:val="000F2191"/>
    <w:rsid w:val="000F2BF0"/>
    <w:rsid w:val="000F3109"/>
    <w:rsid w:val="000F4032"/>
    <w:rsid w:val="000F4929"/>
    <w:rsid w:val="000F57B5"/>
    <w:rsid w:val="000F5E19"/>
    <w:rsid w:val="000F7167"/>
    <w:rsid w:val="00101269"/>
    <w:rsid w:val="0010331E"/>
    <w:rsid w:val="00104385"/>
    <w:rsid w:val="00104AD6"/>
    <w:rsid w:val="00104ED4"/>
    <w:rsid w:val="00110314"/>
    <w:rsid w:val="00113BE5"/>
    <w:rsid w:val="00114475"/>
    <w:rsid w:val="00114DA3"/>
    <w:rsid w:val="00116C81"/>
    <w:rsid w:val="001228AB"/>
    <w:rsid w:val="0012478F"/>
    <w:rsid w:val="001253F8"/>
    <w:rsid w:val="001257E5"/>
    <w:rsid w:val="001271F9"/>
    <w:rsid w:val="00130423"/>
    <w:rsid w:val="00130988"/>
    <w:rsid w:val="00130CCC"/>
    <w:rsid w:val="00131002"/>
    <w:rsid w:val="0013209B"/>
    <w:rsid w:val="001327B5"/>
    <w:rsid w:val="001340D8"/>
    <w:rsid w:val="00140B03"/>
    <w:rsid w:val="001419D7"/>
    <w:rsid w:val="00144A71"/>
    <w:rsid w:val="001506CD"/>
    <w:rsid w:val="001515AF"/>
    <w:rsid w:val="001518D2"/>
    <w:rsid w:val="00151B98"/>
    <w:rsid w:val="00151FF3"/>
    <w:rsid w:val="00153802"/>
    <w:rsid w:val="00153A37"/>
    <w:rsid w:val="001569FE"/>
    <w:rsid w:val="00161C7C"/>
    <w:rsid w:val="00162397"/>
    <w:rsid w:val="00162FEA"/>
    <w:rsid w:val="00164902"/>
    <w:rsid w:val="001670C7"/>
    <w:rsid w:val="0016728F"/>
    <w:rsid w:val="001674B9"/>
    <w:rsid w:val="0016790E"/>
    <w:rsid w:val="00167AA0"/>
    <w:rsid w:val="00167D9B"/>
    <w:rsid w:val="00171621"/>
    <w:rsid w:val="0017492A"/>
    <w:rsid w:val="00174CD8"/>
    <w:rsid w:val="00175B8A"/>
    <w:rsid w:val="00176991"/>
    <w:rsid w:val="001808C4"/>
    <w:rsid w:val="001814DC"/>
    <w:rsid w:val="00183AED"/>
    <w:rsid w:val="00184687"/>
    <w:rsid w:val="00185362"/>
    <w:rsid w:val="001853A3"/>
    <w:rsid w:val="00191362"/>
    <w:rsid w:val="001935A6"/>
    <w:rsid w:val="00196090"/>
    <w:rsid w:val="00196572"/>
    <w:rsid w:val="00197A00"/>
    <w:rsid w:val="001A08A5"/>
    <w:rsid w:val="001A26F4"/>
    <w:rsid w:val="001A2935"/>
    <w:rsid w:val="001A2F1A"/>
    <w:rsid w:val="001A3EB9"/>
    <w:rsid w:val="001A6847"/>
    <w:rsid w:val="001B1AF5"/>
    <w:rsid w:val="001B3090"/>
    <w:rsid w:val="001B4175"/>
    <w:rsid w:val="001B758B"/>
    <w:rsid w:val="001C1E2F"/>
    <w:rsid w:val="001C1FD1"/>
    <w:rsid w:val="001C5E72"/>
    <w:rsid w:val="001C6738"/>
    <w:rsid w:val="001C708F"/>
    <w:rsid w:val="001D0752"/>
    <w:rsid w:val="001D6D6E"/>
    <w:rsid w:val="001D7175"/>
    <w:rsid w:val="001E0625"/>
    <w:rsid w:val="001E142F"/>
    <w:rsid w:val="001E1F83"/>
    <w:rsid w:val="001E2BF6"/>
    <w:rsid w:val="001E53FE"/>
    <w:rsid w:val="001E5648"/>
    <w:rsid w:val="001E5934"/>
    <w:rsid w:val="001E61E8"/>
    <w:rsid w:val="001F0231"/>
    <w:rsid w:val="001F49DB"/>
    <w:rsid w:val="002004B0"/>
    <w:rsid w:val="002029CB"/>
    <w:rsid w:val="002037E7"/>
    <w:rsid w:val="00203F22"/>
    <w:rsid w:val="002043AF"/>
    <w:rsid w:val="00204F6D"/>
    <w:rsid w:val="002053AE"/>
    <w:rsid w:val="002077FB"/>
    <w:rsid w:val="002078AA"/>
    <w:rsid w:val="0021106F"/>
    <w:rsid w:val="00215378"/>
    <w:rsid w:val="00217E1E"/>
    <w:rsid w:val="00220E10"/>
    <w:rsid w:val="00221CBB"/>
    <w:rsid w:val="00227889"/>
    <w:rsid w:val="00227BFB"/>
    <w:rsid w:val="00230323"/>
    <w:rsid w:val="00231741"/>
    <w:rsid w:val="002334B8"/>
    <w:rsid w:val="00235628"/>
    <w:rsid w:val="00236D24"/>
    <w:rsid w:val="002414EF"/>
    <w:rsid w:val="00241D75"/>
    <w:rsid w:val="00243BED"/>
    <w:rsid w:val="00256E02"/>
    <w:rsid w:val="00257A53"/>
    <w:rsid w:val="00257B87"/>
    <w:rsid w:val="002608E8"/>
    <w:rsid w:val="00264D6C"/>
    <w:rsid w:val="00265792"/>
    <w:rsid w:val="00265A29"/>
    <w:rsid w:val="002678D5"/>
    <w:rsid w:val="00267CEA"/>
    <w:rsid w:val="00270AAB"/>
    <w:rsid w:val="0027188A"/>
    <w:rsid w:val="00273D41"/>
    <w:rsid w:val="00273DB6"/>
    <w:rsid w:val="00275A6B"/>
    <w:rsid w:val="00282E31"/>
    <w:rsid w:val="002843C3"/>
    <w:rsid w:val="00285808"/>
    <w:rsid w:val="00285EF1"/>
    <w:rsid w:val="00290901"/>
    <w:rsid w:val="00293304"/>
    <w:rsid w:val="002979EA"/>
    <w:rsid w:val="002A0655"/>
    <w:rsid w:val="002A08D4"/>
    <w:rsid w:val="002A39D6"/>
    <w:rsid w:val="002A621D"/>
    <w:rsid w:val="002A69DA"/>
    <w:rsid w:val="002A6B47"/>
    <w:rsid w:val="002A7564"/>
    <w:rsid w:val="002A7E70"/>
    <w:rsid w:val="002B57E6"/>
    <w:rsid w:val="002C252C"/>
    <w:rsid w:val="002C3551"/>
    <w:rsid w:val="002C4FD0"/>
    <w:rsid w:val="002C68AD"/>
    <w:rsid w:val="002D1917"/>
    <w:rsid w:val="002D454D"/>
    <w:rsid w:val="002D4F7C"/>
    <w:rsid w:val="002E081A"/>
    <w:rsid w:val="002E4D2F"/>
    <w:rsid w:val="002E4E1F"/>
    <w:rsid w:val="002E4F1F"/>
    <w:rsid w:val="002E4FAB"/>
    <w:rsid w:val="002E5C92"/>
    <w:rsid w:val="002E76C0"/>
    <w:rsid w:val="002F1303"/>
    <w:rsid w:val="002F3652"/>
    <w:rsid w:val="002F3B93"/>
    <w:rsid w:val="002F6D25"/>
    <w:rsid w:val="002F6F14"/>
    <w:rsid w:val="003011EE"/>
    <w:rsid w:val="00304F21"/>
    <w:rsid w:val="00306166"/>
    <w:rsid w:val="00307D36"/>
    <w:rsid w:val="00310F6B"/>
    <w:rsid w:val="003132B2"/>
    <w:rsid w:val="003139C6"/>
    <w:rsid w:val="00316599"/>
    <w:rsid w:val="00321FC8"/>
    <w:rsid w:val="003227F3"/>
    <w:rsid w:val="003260F2"/>
    <w:rsid w:val="003310AA"/>
    <w:rsid w:val="0033112C"/>
    <w:rsid w:val="0033501C"/>
    <w:rsid w:val="0033646B"/>
    <w:rsid w:val="00341BC1"/>
    <w:rsid w:val="00341D98"/>
    <w:rsid w:val="00344440"/>
    <w:rsid w:val="00351343"/>
    <w:rsid w:val="00355DEC"/>
    <w:rsid w:val="0035697F"/>
    <w:rsid w:val="00357AFA"/>
    <w:rsid w:val="003602B6"/>
    <w:rsid w:val="00360DE6"/>
    <w:rsid w:val="00361EA9"/>
    <w:rsid w:val="00362B19"/>
    <w:rsid w:val="00362FC9"/>
    <w:rsid w:val="003645C6"/>
    <w:rsid w:val="00365414"/>
    <w:rsid w:val="00365DCA"/>
    <w:rsid w:val="00365FAB"/>
    <w:rsid w:val="00370152"/>
    <w:rsid w:val="0037056A"/>
    <w:rsid w:val="00370AB5"/>
    <w:rsid w:val="00370ED5"/>
    <w:rsid w:val="0037297C"/>
    <w:rsid w:val="003764D6"/>
    <w:rsid w:val="00383684"/>
    <w:rsid w:val="00387E30"/>
    <w:rsid w:val="00390482"/>
    <w:rsid w:val="0039247F"/>
    <w:rsid w:val="00392E67"/>
    <w:rsid w:val="00392F0A"/>
    <w:rsid w:val="003A171B"/>
    <w:rsid w:val="003A1844"/>
    <w:rsid w:val="003A4D1D"/>
    <w:rsid w:val="003A57C1"/>
    <w:rsid w:val="003A5DE1"/>
    <w:rsid w:val="003A6C72"/>
    <w:rsid w:val="003A760A"/>
    <w:rsid w:val="003A7DB2"/>
    <w:rsid w:val="003B0FB8"/>
    <w:rsid w:val="003B1595"/>
    <w:rsid w:val="003B5AB8"/>
    <w:rsid w:val="003B683F"/>
    <w:rsid w:val="003C1A95"/>
    <w:rsid w:val="003C2A2D"/>
    <w:rsid w:val="003C3D8F"/>
    <w:rsid w:val="003C47CC"/>
    <w:rsid w:val="003C4DC6"/>
    <w:rsid w:val="003D14D5"/>
    <w:rsid w:val="003D4275"/>
    <w:rsid w:val="003E14B3"/>
    <w:rsid w:val="003E4686"/>
    <w:rsid w:val="003E67B2"/>
    <w:rsid w:val="003F16A4"/>
    <w:rsid w:val="003F20CF"/>
    <w:rsid w:val="003F3F32"/>
    <w:rsid w:val="003F670F"/>
    <w:rsid w:val="00400758"/>
    <w:rsid w:val="004026F6"/>
    <w:rsid w:val="004027E9"/>
    <w:rsid w:val="0041075E"/>
    <w:rsid w:val="00412069"/>
    <w:rsid w:val="00413F8D"/>
    <w:rsid w:val="004145A5"/>
    <w:rsid w:val="00414995"/>
    <w:rsid w:val="004151A5"/>
    <w:rsid w:val="00417CF6"/>
    <w:rsid w:val="004200C6"/>
    <w:rsid w:val="004227AA"/>
    <w:rsid w:val="004231C5"/>
    <w:rsid w:val="00433D35"/>
    <w:rsid w:val="004350E4"/>
    <w:rsid w:val="0043527D"/>
    <w:rsid w:val="00441367"/>
    <w:rsid w:val="00443555"/>
    <w:rsid w:val="004465F0"/>
    <w:rsid w:val="00447891"/>
    <w:rsid w:val="00447CA6"/>
    <w:rsid w:val="00447DB8"/>
    <w:rsid w:val="0045643E"/>
    <w:rsid w:val="0045653E"/>
    <w:rsid w:val="00461A21"/>
    <w:rsid w:val="00462842"/>
    <w:rsid w:val="0046349C"/>
    <w:rsid w:val="00463A13"/>
    <w:rsid w:val="004644F0"/>
    <w:rsid w:val="00464C21"/>
    <w:rsid w:val="0047109F"/>
    <w:rsid w:val="00472038"/>
    <w:rsid w:val="00472B7B"/>
    <w:rsid w:val="00476A35"/>
    <w:rsid w:val="00480076"/>
    <w:rsid w:val="00483214"/>
    <w:rsid w:val="00484680"/>
    <w:rsid w:val="00487AC6"/>
    <w:rsid w:val="00490E63"/>
    <w:rsid w:val="0049114B"/>
    <w:rsid w:val="0049321D"/>
    <w:rsid w:val="00493983"/>
    <w:rsid w:val="00494914"/>
    <w:rsid w:val="00496AF7"/>
    <w:rsid w:val="004A0FD5"/>
    <w:rsid w:val="004A2586"/>
    <w:rsid w:val="004A25E8"/>
    <w:rsid w:val="004A274A"/>
    <w:rsid w:val="004A556A"/>
    <w:rsid w:val="004B0A96"/>
    <w:rsid w:val="004B1A1A"/>
    <w:rsid w:val="004B2039"/>
    <w:rsid w:val="004B5E34"/>
    <w:rsid w:val="004C1985"/>
    <w:rsid w:val="004C4522"/>
    <w:rsid w:val="004C4D12"/>
    <w:rsid w:val="004C55AC"/>
    <w:rsid w:val="004C5C70"/>
    <w:rsid w:val="004C5F49"/>
    <w:rsid w:val="004C656A"/>
    <w:rsid w:val="004C677B"/>
    <w:rsid w:val="004C6AC2"/>
    <w:rsid w:val="004D0E7C"/>
    <w:rsid w:val="004D0EC0"/>
    <w:rsid w:val="004D135C"/>
    <w:rsid w:val="004D4A6C"/>
    <w:rsid w:val="004D6E6F"/>
    <w:rsid w:val="004D6F56"/>
    <w:rsid w:val="004E008E"/>
    <w:rsid w:val="004E03AE"/>
    <w:rsid w:val="004E184F"/>
    <w:rsid w:val="004E51B0"/>
    <w:rsid w:val="004E521D"/>
    <w:rsid w:val="004E727A"/>
    <w:rsid w:val="004F4976"/>
    <w:rsid w:val="004F5785"/>
    <w:rsid w:val="004F5C2E"/>
    <w:rsid w:val="004F6B37"/>
    <w:rsid w:val="004F7787"/>
    <w:rsid w:val="00501A9D"/>
    <w:rsid w:val="005065A9"/>
    <w:rsid w:val="005067A0"/>
    <w:rsid w:val="005108CE"/>
    <w:rsid w:val="0051177C"/>
    <w:rsid w:val="005119E3"/>
    <w:rsid w:val="0051683E"/>
    <w:rsid w:val="00517231"/>
    <w:rsid w:val="00517F21"/>
    <w:rsid w:val="0052011B"/>
    <w:rsid w:val="00521A1B"/>
    <w:rsid w:val="005244A8"/>
    <w:rsid w:val="00524D90"/>
    <w:rsid w:val="005251DF"/>
    <w:rsid w:val="005268AF"/>
    <w:rsid w:val="00530199"/>
    <w:rsid w:val="00530D95"/>
    <w:rsid w:val="00531AED"/>
    <w:rsid w:val="005327D8"/>
    <w:rsid w:val="00535B2D"/>
    <w:rsid w:val="0053634B"/>
    <w:rsid w:val="0054373B"/>
    <w:rsid w:val="00543C1B"/>
    <w:rsid w:val="00547604"/>
    <w:rsid w:val="0054787B"/>
    <w:rsid w:val="005521C0"/>
    <w:rsid w:val="00552498"/>
    <w:rsid w:val="005552B5"/>
    <w:rsid w:val="00555686"/>
    <w:rsid w:val="00556C07"/>
    <w:rsid w:val="00557E73"/>
    <w:rsid w:val="00560780"/>
    <w:rsid w:val="00560EB1"/>
    <w:rsid w:val="00561544"/>
    <w:rsid w:val="00563442"/>
    <w:rsid w:val="00563491"/>
    <w:rsid w:val="00563945"/>
    <w:rsid w:val="00567C47"/>
    <w:rsid w:val="00570043"/>
    <w:rsid w:val="005721F9"/>
    <w:rsid w:val="005734AD"/>
    <w:rsid w:val="00576C8F"/>
    <w:rsid w:val="00577902"/>
    <w:rsid w:val="005844B1"/>
    <w:rsid w:val="00585C51"/>
    <w:rsid w:val="00586430"/>
    <w:rsid w:val="00587500"/>
    <w:rsid w:val="00587746"/>
    <w:rsid w:val="005918C2"/>
    <w:rsid w:val="005972FB"/>
    <w:rsid w:val="005A2A04"/>
    <w:rsid w:val="005A6BC2"/>
    <w:rsid w:val="005B3618"/>
    <w:rsid w:val="005B3642"/>
    <w:rsid w:val="005B7B4C"/>
    <w:rsid w:val="005C1A7D"/>
    <w:rsid w:val="005C2510"/>
    <w:rsid w:val="005C27CC"/>
    <w:rsid w:val="005C35D9"/>
    <w:rsid w:val="005C3E16"/>
    <w:rsid w:val="005C4252"/>
    <w:rsid w:val="005D1EE4"/>
    <w:rsid w:val="005D2EC4"/>
    <w:rsid w:val="005D63F8"/>
    <w:rsid w:val="005D7306"/>
    <w:rsid w:val="005D76B2"/>
    <w:rsid w:val="005E2429"/>
    <w:rsid w:val="005E2EEE"/>
    <w:rsid w:val="005E50FD"/>
    <w:rsid w:val="005E5E35"/>
    <w:rsid w:val="005E6909"/>
    <w:rsid w:val="005F1F86"/>
    <w:rsid w:val="005F4485"/>
    <w:rsid w:val="005F73D2"/>
    <w:rsid w:val="0060033F"/>
    <w:rsid w:val="006009CD"/>
    <w:rsid w:val="00601117"/>
    <w:rsid w:val="00601C32"/>
    <w:rsid w:val="00602BF7"/>
    <w:rsid w:val="0060429C"/>
    <w:rsid w:val="006070AC"/>
    <w:rsid w:val="00611C0D"/>
    <w:rsid w:val="0061305A"/>
    <w:rsid w:val="00613C27"/>
    <w:rsid w:val="006213B4"/>
    <w:rsid w:val="00625200"/>
    <w:rsid w:val="006267EE"/>
    <w:rsid w:val="00633090"/>
    <w:rsid w:val="00637E4E"/>
    <w:rsid w:val="00641296"/>
    <w:rsid w:val="00641547"/>
    <w:rsid w:val="00642CF8"/>
    <w:rsid w:val="00642D35"/>
    <w:rsid w:val="0064490F"/>
    <w:rsid w:val="00644CB1"/>
    <w:rsid w:val="00651FEC"/>
    <w:rsid w:val="006525C3"/>
    <w:rsid w:val="006554FB"/>
    <w:rsid w:val="006620B3"/>
    <w:rsid w:val="00662354"/>
    <w:rsid w:val="00662525"/>
    <w:rsid w:val="00672C74"/>
    <w:rsid w:val="00673AB1"/>
    <w:rsid w:val="006741DE"/>
    <w:rsid w:val="00674490"/>
    <w:rsid w:val="006766B9"/>
    <w:rsid w:val="00680993"/>
    <w:rsid w:val="006810B4"/>
    <w:rsid w:val="00681691"/>
    <w:rsid w:val="0068312B"/>
    <w:rsid w:val="006834F1"/>
    <w:rsid w:val="00684B1A"/>
    <w:rsid w:val="0068682D"/>
    <w:rsid w:val="00686ADA"/>
    <w:rsid w:val="00687A03"/>
    <w:rsid w:val="0069215D"/>
    <w:rsid w:val="00693982"/>
    <w:rsid w:val="00695B3D"/>
    <w:rsid w:val="00697954"/>
    <w:rsid w:val="006A214F"/>
    <w:rsid w:val="006A29F5"/>
    <w:rsid w:val="006A4767"/>
    <w:rsid w:val="006A5BE3"/>
    <w:rsid w:val="006B0E13"/>
    <w:rsid w:val="006B3A9E"/>
    <w:rsid w:val="006B3F4D"/>
    <w:rsid w:val="006B5EDA"/>
    <w:rsid w:val="006C01D8"/>
    <w:rsid w:val="006C060D"/>
    <w:rsid w:val="006C3052"/>
    <w:rsid w:val="006C3E75"/>
    <w:rsid w:val="006C404A"/>
    <w:rsid w:val="006C41E1"/>
    <w:rsid w:val="006C42EB"/>
    <w:rsid w:val="006C4BF9"/>
    <w:rsid w:val="006C4E92"/>
    <w:rsid w:val="006D5682"/>
    <w:rsid w:val="006E05DB"/>
    <w:rsid w:val="006E0DDE"/>
    <w:rsid w:val="006E160E"/>
    <w:rsid w:val="006E2E85"/>
    <w:rsid w:val="006E38F7"/>
    <w:rsid w:val="006E4F89"/>
    <w:rsid w:val="006E5760"/>
    <w:rsid w:val="006F0F8F"/>
    <w:rsid w:val="006F28A0"/>
    <w:rsid w:val="006F61FF"/>
    <w:rsid w:val="006F7B96"/>
    <w:rsid w:val="006F7CE4"/>
    <w:rsid w:val="00701B49"/>
    <w:rsid w:val="007025EE"/>
    <w:rsid w:val="007054A4"/>
    <w:rsid w:val="00706B62"/>
    <w:rsid w:val="00706CFA"/>
    <w:rsid w:val="00707A1F"/>
    <w:rsid w:val="00710362"/>
    <w:rsid w:val="00711D3E"/>
    <w:rsid w:val="00712025"/>
    <w:rsid w:val="00713A11"/>
    <w:rsid w:val="007158FA"/>
    <w:rsid w:val="00717144"/>
    <w:rsid w:val="0071775B"/>
    <w:rsid w:val="00720577"/>
    <w:rsid w:val="00720DB6"/>
    <w:rsid w:val="007224DC"/>
    <w:rsid w:val="00723DF4"/>
    <w:rsid w:val="00724770"/>
    <w:rsid w:val="00725774"/>
    <w:rsid w:val="00725D9F"/>
    <w:rsid w:val="00730DD5"/>
    <w:rsid w:val="00732134"/>
    <w:rsid w:val="00736DBE"/>
    <w:rsid w:val="00737B51"/>
    <w:rsid w:val="007402EA"/>
    <w:rsid w:val="00744F7E"/>
    <w:rsid w:val="007619D0"/>
    <w:rsid w:val="00763E55"/>
    <w:rsid w:val="00765265"/>
    <w:rsid w:val="007658DD"/>
    <w:rsid w:val="00766890"/>
    <w:rsid w:val="00766D1B"/>
    <w:rsid w:val="00766FF6"/>
    <w:rsid w:val="00767237"/>
    <w:rsid w:val="00767258"/>
    <w:rsid w:val="007749E6"/>
    <w:rsid w:val="00774F42"/>
    <w:rsid w:val="00777014"/>
    <w:rsid w:val="0077740F"/>
    <w:rsid w:val="0077745D"/>
    <w:rsid w:val="00781BD4"/>
    <w:rsid w:val="00781C1D"/>
    <w:rsid w:val="00782360"/>
    <w:rsid w:val="00782C9D"/>
    <w:rsid w:val="0078446D"/>
    <w:rsid w:val="007852F5"/>
    <w:rsid w:val="0078771A"/>
    <w:rsid w:val="00787EC5"/>
    <w:rsid w:val="0079256C"/>
    <w:rsid w:val="0079360E"/>
    <w:rsid w:val="00794745"/>
    <w:rsid w:val="007952B4"/>
    <w:rsid w:val="0079792A"/>
    <w:rsid w:val="007A20B0"/>
    <w:rsid w:val="007A3949"/>
    <w:rsid w:val="007A3C89"/>
    <w:rsid w:val="007A54B7"/>
    <w:rsid w:val="007A5E4E"/>
    <w:rsid w:val="007A6404"/>
    <w:rsid w:val="007A6574"/>
    <w:rsid w:val="007A702B"/>
    <w:rsid w:val="007B0CD4"/>
    <w:rsid w:val="007B171F"/>
    <w:rsid w:val="007B205D"/>
    <w:rsid w:val="007B213A"/>
    <w:rsid w:val="007B444E"/>
    <w:rsid w:val="007B5E93"/>
    <w:rsid w:val="007B60E9"/>
    <w:rsid w:val="007C0D15"/>
    <w:rsid w:val="007C2F1A"/>
    <w:rsid w:val="007C3405"/>
    <w:rsid w:val="007C6C8F"/>
    <w:rsid w:val="007D005E"/>
    <w:rsid w:val="007D0C9A"/>
    <w:rsid w:val="007D2EDD"/>
    <w:rsid w:val="007D3CF7"/>
    <w:rsid w:val="007D706E"/>
    <w:rsid w:val="007E0D25"/>
    <w:rsid w:val="007E50E8"/>
    <w:rsid w:val="007E5FB0"/>
    <w:rsid w:val="007E6616"/>
    <w:rsid w:val="007E6BA2"/>
    <w:rsid w:val="007F0C73"/>
    <w:rsid w:val="007F18F0"/>
    <w:rsid w:val="007F1EDA"/>
    <w:rsid w:val="007F361B"/>
    <w:rsid w:val="007F558F"/>
    <w:rsid w:val="007F5A3C"/>
    <w:rsid w:val="007F6239"/>
    <w:rsid w:val="007F6DD1"/>
    <w:rsid w:val="00801993"/>
    <w:rsid w:val="00802DE0"/>
    <w:rsid w:val="008037B9"/>
    <w:rsid w:val="0080483A"/>
    <w:rsid w:val="008062F8"/>
    <w:rsid w:val="00806360"/>
    <w:rsid w:val="0080679D"/>
    <w:rsid w:val="00807324"/>
    <w:rsid w:val="008103FD"/>
    <w:rsid w:val="00810B40"/>
    <w:rsid w:val="00813DE3"/>
    <w:rsid w:val="00814781"/>
    <w:rsid w:val="00814B8D"/>
    <w:rsid w:val="00815878"/>
    <w:rsid w:val="0082518B"/>
    <w:rsid w:val="00826ED2"/>
    <w:rsid w:val="00831CAB"/>
    <w:rsid w:val="008321CF"/>
    <w:rsid w:val="008333A6"/>
    <w:rsid w:val="008363F5"/>
    <w:rsid w:val="00837725"/>
    <w:rsid w:val="00842827"/>
    <w:rsid w:val="0084317E"/>
    <w:rsid w:val="008443AA"/>
    <w:rsid w:val="0084690D"/>
    <w:rsid w:val="00846F95"/>
    <w:rsid w:val="00847B00"/>
    <w:rsid w:val="00853C1D"/>
    <w:rsid w:val="008636E1"/>
    <w:rsid w:val="00864728"/>
    <w:rsid w:val="008649FE"/>
    <w:rsid w:val="00866674"/>
    <w:rsid w:val="00870543"/>
    <w:rsid w:val="0087349F"/>
    <w:rsid w:val="00880418"/>
    <w:rsid w:val="00881233"/>
    <w:rsid w:val="0088199F"/>
    <w:rsid w:val="00881E76"/>
    <w:rsid w:val="00891E04"/>
    <w:rsid w:val="00893001"/>
    <w:rsid w:val="00893F5D"/>
    <w:rsid w:val="0089519F"/>
    <w:rsid w:val="00896BDD"/>
    <w:rsid w:val="00897CAC"/>
    <w:rsid w:val="008A1D50"/>
    <w:rsid w:val="008A2109"/>
    <w:rsid w:val="008A5856"/>
    <w:rsid w:val="008A774A"/>
    <w:rsid w:val="008B0711"/>
    <w:rsid w:val="008B37D8"/>
    <w:rsid w:val="008C14C6"/>
    <w:rsid w:val="008C3BED"/>
    <w:rsid w:val="008C4D13"/>
    <w:rsid w:val="008C7BDD"/>
    <w:rsid w:val="008D44A0"/>
    <w:rsid w:val="008D4D6E"/>
    <w:rsid w:val="008D613B"/>
    <w:rsid w:val="008D6C53"/>
    <w:rsid w:val="008E09AC"/>
    <w:rsid w:val="008E15CF"/>
    <w:rsid w:val="008E3F33"/>
    <w:rsid w:val="008E40F4"/>
    <w:rsid w:val="008E4205"/>
    <w:rsid w:val="008E5B09"/>
    <w:rsid w:val="008E6F9B"/>
    <w:rsid w:val="008E7309"/>
    <w:rsid w:val="008F0668"/>
    <w:rsid w:val="008F09C9"/>
    <w:rsid w:val="008F1F05"/>
    <w:rsid w:val="008F274B"/>
    <w:rsid w:val="008F286C"/>
    <w:rsid w:val="008F3610"/>
    <w:rsid w:val="008F365F"/>
    <w:rsid w:val="008F6A90"/>
    <w:rsid w:val="008F7576"/>
    <w:rsid w:val="009018EC"/>
    <w:rsid w:val="00901F2A"/>
    <w:rsid w:val="00906428"/>
    <w:rsid w:val="00907A47"/>
    <w:rsid w:val="00907EED"/>
    <w:rsid w:val="009108EE"/>
    <w:rsid w:val="0091164D"/>
    <w:rsid w:val="00911939"/>
    <w:rsid w:val="0091204A"/>
    <w:rsid w:val="00912591"/>
    <w:rsid w:val="00922034"/>
    <w:rsid w:val="00923079"/>
    <w:rsid w:val="00923D00"/>
    <w:rsid w:val="009242B2"/>
    <w:rsid w:val="009261C1"/>
    <w:rsid w:val="009272A5"/>
    <w:rsid w:val="00930264"/>
    <w:rsid w:val="00933A12"/>
    <w:rsid w:val="00934BCC"/>
    <w:rsid w:val="0093650C"/>
    <w:rsid w:val="00940CE1"/>
    <w:rsid w:val="0094256F"/>
    <w:rsid w:val="00951839"/>
    <w:rsid w:val="00952005"/>
    <w:rsid w:val="00953692"/>
    <w:rsid w:val="00954957"/>
    <w:rsid w:val="0095504F"/>
    <w:rsid w:val="00956AEC"/>
    <w:rsid w:val="00956F0E"/>
    <w:rsid w:val="00966F4F"/>
    <w:rsid w:val="00967161"/>
    <w:rsid w:val="009709FF"/>
    <w:rsid w:val="00971F28"/>
    <w:rsid w:val="00972DBA"/>
    <w:rsid w:val="00973221"/>
    <w:rsid w:val="009743E6"/>
    <w:rsid w:val="00975437"/>
    <w:rsid w:val="009762D4"/>
    <w:rsid w:val="00976BAC"/>
    <w:rsid w:val="0097784E"/>
    <w:rsid w:val="00985316"/>
    <w:rsid w:val="00990E65"/>
    <w:rsid w:val="00994552"/>
    <w:rsid w:val="00995BE9"/>
    <w:rsid w:val="009A391A"/>
    <w:rsid w:val="009A660E"/>
    <w:rsid w:val="009B33DD"/>
    <w:rsid w:val="009B415D"/>
    <w:rsid w:val="009B4AB6"/>
    <w:rsid w:val="009C1BCB"/>
    <w:rsid w:val="009C5004"/>
    <w:rsid w:val="009C6DE1"/>
    <w:rsid w:val="009D06F1"/>
    <w:rsid w:val="009D1199"/>
    <w:rsid w:val="009D2CEE"/>
    <w:rsid w:val="009D34F8"/>
    <w:rsid w:val="009D477E"/>
    <w:rsid w:val="009D6802"/>
    <w:rsid w:val="009E090E"/>
    <w:rsid w:val="009E1AF9"/>
    <w:rsid w:val="009E3106"/>
    <w:rsid w:val="009F1114"/>
    <w:rsid w:val="009F292A"/>
    <w:rsid w:val="009F2C1B"/>
    <w:rsid w:val="009F2FE5"/>
    <w:rsid w:val="009F5FD9"/>
    <w:rsid w:val="009F653D"/>
    <w:rsid w:val="009F7DC0"/>
    <w:rsid w:val="00A003F3"/>
    <w:rsid w:val="00A01A54"/>
    <w:rsid w:val="00A02363"/>
    <w:rsid w:val="00A0546B"/>
    <w:rsid w:val="00A0641F"/>
    <w:rsid w:val="00A12BC0"/>
    <w:rsid w:val="00A1430B"/>
    <w:rsid w:val="00A15FCE"/>
    <w:rsid w:val="00A2248D"/>
    <w:rsid w:val="00A235E9"/>
    <w:rsid w:val="00A23B8C"/>
    <w:rsid w:val="00A26DD2"/>
    <w:rsid w:val="00A27CD3"/>
    <w:rsid w:val="00A31B17"/>
    <w:rsid w:val="00A346E5"/>
    <w:rsid w:val="00A34D0B"/>
    <w:rsid w:val="00A35E3F"/>
    <w:rsid w:val="00A37797"/>
    <w:rsid w:val="00A377DB"/>
    <w:rsid w:val="00A40116"/>
    <w:rsid w:val="00A417AB"/>
    <w:rsid w:val="00A41AF7"/>
    <w:rsid w:val="00A4320D"/>
    <w:rsid w:val="00A44497"/>
    <w:rsid w:val="00A450A7"/>
    <w:rsid w:val="00A450C7"/>
    <w:rsid w:val="00A45A57"/>
    <w:rsid w:val="00A46AD0"/>
    <w:rsid w:val="00A47F64"/>
    <w:rsid w:val="00A50484"/>
    <w:rsid w:val="00A52616"/>
    <w:rsid w:val="00A52834"/>
    <w:rsid w:val="00A56738"/>
    <w:rsid w:val="00A568DB"/>
    <w:rsid w:val="00A57DB5"/>
    <w:rsid w:val="00A62F92"/>
    <w:rsid w:val="00A67C3D"/>
    <w:rsid w:val="00A738A1"/>
    <w:rsid w:val="00A73C85"/>
    <w:rsid w:val="00A74285"/>
    <w:rsid w:val="00A76327"/>
    <w:rsid w:val="00A80C4F"/>
    <w:rsid w:val="00A80FB0"/>
    <w:rsid w:val="00A80FF0"/>
    <w:rsid w:val="00A816B7"/>
    <w:rsid w:val="00A820C2"/>
    <w:rsid w:val="00A838D0"/>
    <w:rsid w:val="00A87C60"/>
    <w:rsid w:val="00A907B1"/>
    <w:rsid w:val="00A90F15"/>
    <w:rsid w:val="00A9180D"/>
    <w:rsid w:val="00A95830"/>
    <w:rsid w:val="00A95E4B"/>
    <w:rsid w:val="00A97539"/>
    <w:rsid w:val="00AA1444"/>
    <w:rsid w:val="00AA2F17"/>
    <w:rsid w:val="00AA3C19"/>
    <w:rsid w:val="00AA3DDB"/>
    <w:rsid w:val="00AA6B88"/>
    <w:rsid w:val="00AB0565"/>
    <w:rsid w:val="00AB069D"/>
    <w:rsid w:val="00AB301C"/>
    <w:rsid w:val="00AB503B"/>
    <w:rsid w:val="00AB6815"/>
    <w:rsid w:val="00AB7F34"/>
    <w:rsid w:val="00AC0304"/>
    <w:rsid w:val="00AC1589"/>
    <w:rsid w:val="00AC32DA"/>
    <w:rsid w:val="00AC3923"/>
    <w:rsid w:val="00AC5799"/>
    <w:rsid w:val="00AC662F"/>
    <w:rsid w:val="00AC7659"/>
    <w:rsid w:val="00AD1C4D"/>
    <w:rsid w:val="00AD37E4"/>
    <w:rsid w:val="00AD3B9A"/>
    <w:rsid w:val="00AD7454"/>
    <w:rsid w:val="00AE0D43"/>
    <w:rsid w:val="00AE2EED"/>
    <w:rsid w:val="00AE45CA"/>
    <w:rsid w:val="00AE51C5"/>
    <w:rsid w:val="00AE7FC7"/>
    <w:rsid w:val="00AF3D54"/>
    <w:rsid w:val="00AF5014"/>
    <w:rsid w:val="00AF664F"/>
    <w:rsid w:val="00B00A98"/>
    <w:rsid w:val="00B014FC"/>
    <w:rsid w:val="00B02F05"/>
    <w:rsid w:val="00B036C1"/>
    <w:rsid w:val="00B05569"/>
    <w:rsid w:val="00B06075"/>
    <w:rsid w:val="00B06E58"/>
    <w:rsid w:val="00B07EF7"/>
    <w:rsid w:val="00B1001C"/>
    <w:rsid w:val="00B11062"/>
    <w:rsid w:val="00B117C6"/>
    <w:rsid w:val="00B1477E"/>
    <w:rsid w:val="00B16789"/>
    <w:rsid w:val="00B17846"/>
    <w:rsid w:val="00B26996"/>
    <w:rsid w:val="00B30A31"/>
    <w:rsid w:val="00B30DDD"/>
    <w:rsid w:val="00B32B0E"/>
    <w:rsid w:val="00B41630"/>
    <w:rsid w:val="00B442A8"/>
    <w:rsid w:val="00B44ED2"/>
    <w:rsid w:val="00B45B93"/>
    <w:rsid w:val="00B5366A"/>
    <w:rsid w:val="00B543B9"/>
    <w:rsid w:val="00B5452E"/>
    <w:rsid w:val="00B5525B"/>
    <w:rsid w:val="00B56FAD"/>
    <w:rsid w:val="00B60213"/>
    <w:rsid w:val="00B6228B"/>
    <w:rsid w:val="00B62D9C"/>
    <w:rsid w:val="00B646A9"/>
    <w:rsid w:val="00B65479"/>
    <w:rsid w:val="00B66EBF"/>
    <w:rsid w:val="00B77E64"/>
    <w:rsid w:val="00B83356"/>
    <w:rsid w:val="00B837E3"/>
    <w:rsid w:val="00B83EAE"/>
    <w:rsid w:val="00B8499D"/>
    <w:rsid w:val="00B859CA"/>
    <w:rsid w:val="00B8712B"/>
    <w:rsid w:val="00B874BE"/>
    <w:rsid w:val="00B91B11"/>
    <w:rsid w:val="00B9350B"/>
    <w:rsid w:val="00B93689"/>
    <w:rsid w:val="00B945A1"/>
    <w:rsid w:val="00B95398"/>
    <w:rsid w:val="00B97E67"/>
    <w:rsid w:val="00BA18CC"/>
    <w:rsid w:val="00BA3240"/>
    <w:rsid w:val="00BA3C16"/>
    <w:rsid w:val="00BA4C93"/>
    <w:rsid w:val="00BA7242"/>
    <w:rsid w:val="00BB3B38"/>
    <w:rsid w:val="00BB3FC5"/>
    <w:rsid w:val="00BB6766"/>
    <w:rsid w:val="00BB6E9C"/>
    <w:rsid w:val="00BB73B9"/>
    <w:rsid w:val="00BC07C9"/>
    <w:rsid w:val="00BC2823"/>
    <w:rsid w:val="00BC3068"/>
    <w:rsid w:val="00BC7876"/>
    <w:rsid w:val="00BC78CA"/>
    <w:rsid w:val="00BC7C1A"/>
    <w:rsid w:val="00BD0594"/>
    <w:rsid w:val="00BD2DEF"/>
    <w:rsid w:val="00BD3751"/>
    <w:rsid w:val="00BD4FA7"/>
    <w:rsid w:val="00BD77B2"/>
    <w:rsid w:val="00BD7A4A"/>
    <w:rsid w:val="00BE0B5E"/>
    <w:rsid w:val="00BE1506"/>
    <w:rsid w:val="00BE2808"/>
    <w:rsid w:val="00BE708D"/>
    <w:rsid w:val="00BF40E1"/>
    <w:rsid w:val="00BF4DFD"/>
    <w:rsid w:val="00BF5671"/>
    <w:rsid w:val="00C001C4"/>
    <w:rsid w:val="00C02EBB"/>
    <w:rsid w:val="00C03439"/>
    <w:rsid w:val="00C04EC5"/>
    <w:rsid w:val="00C0530D"/>
    <w:rsid w:val="00C05413"/>
    <w:rsid w:val="00C061BE"/>
    <w:rsid w:val="00C06460"/>
    <w:rsid w:val="00C102F7"/>
    <w:rsid w:val="00C12E1B"/>
    <w:rsid w:val="00C130BD"/>
    <w:rsid w:val="00C16A13"/>
    <w:rsid w:val="00C2060D"/>
    <w:rsid w:val="00C207D7"/>
    <w:rsid w:val="00C211CC"/>
    <w:rsid w:val="00C247CE"/>
    <w:rsid w:val="00C341D1"/>
    <w:rsid w:val="00C34BEC"/>
    <w:rsid w:val="00C365EE"/>
    <w:rsid w:val="00C37FFD"/>
    <w:rsid w:val="00C40CBE"/>
    <w:rsid w:val="00C43F19"/>
    <w:rsid w:val="00C51D6F"/>
    <w:rsid w:val="00C52086"/>
    <w:rsid w:val="00C55D77"/>
    <w:rsid w:val="00C55FE2"/>
    <w:rsid w:val="00C56078"/>
    <w:rsid w:val="00C60197"/>
    <w:rsid w:val="00C61CBE"/>
    <w:rsid w:val="00C63E81"/>
    <w:rsid w:val="00C64283"/>
    <w:rsid w:val="00C64508"/>
    <w:rsid w:val="00C64E08"/>
    <w:rsid w:val="00C7203C"/>
    <w:rsid w:val="00C773D7"/>
    <w:rsid w:val="00C83D5A"/>
    <w:rsid w:val="00C84AB1"/>
    <w:rsid w:val="00C850B1"/>
    <w:rsid w:val="00C853A8"/>
    <w:rsid w:val="00C85BDB"/>
    <w:rsid w:val="00C874CA"/>
    <w:rsid w:val="00C8779F"/>
    <w:rsid w:val="00C91940"/>
    <w:rsid w:val="00C9199A"/>
    <w:rsid w:val="00C923CC"/>
    <w:rsid w:val="00C924CD"/>
    <w:rsid w:val="00C95A86"/>
    <w:rsid w:val="00C96FD1"/>
    <w:rsid w:val="00C97F4B"/>
    <w:rsid w:val="00CA15E7"/>
    <w:rsid w:val="00CA3541"/>
    <w:rsid w:val="00CA4D0C"/>
    <w:rsid w:val="00CA5EF9"/>
    <w:rsid w:val="00CA6865"/>
    <w:rsid w:val="00CA7FC9"/>
    <w:rsid w:val="00CB1AAC"/>
    <w:rsid w:val="00CB2EBE"/>
    <w:rsid w:val="00CB3A80"/>
    <w:rsid w:val="00CB5EE8"/>
    <w:rsid w:val="00CB656E"/>
    <w:rsid w:val="00CB6668"/>
    <w:rsid w:val="00CB6D3E"/>
    <w:rsid w:val="00CC1138"/>
    <w:rsid w:val="00CC42B0"/>
    <w:rsid w:val="00CC70D5"/>
    <w:rsid w:val="00CD590B"/>
    <w:rsid w:val="00CE123C"/>
    <w:rsid w:val="00CE146A"/>
    <w:rsid w:val="00CE239E"/>
    <w:rsid w:val="00CE3660"/>
    <w:rsid w:val="00CE70EB"/>
    <w:rsid w:val="00CE7167"/>
    <w:rsid w:val="00CF22BF"/>
    <w:rsid w:val="00CF338A"/>
    <w:rsid w:val="00CF4052"/>
    <w:rsid w:val="00D00CC6"/>
    <w:rsid w:val="00D016D0"/>
    <w:rsid w:val="00D04BAF"/>
    <w:rsid w:val="00D0531C"/>
    <w:rsid w:val="00D060B1"/>
    <w:rsid w:val="00D079E8"/>
    <w:rsid w:val="00D11D33"/>
    <w:rsid w:val="00D120B2"/>
    <w:rsid w:val="00D1395E"/>
    <w:rsid w:val="00D150F4"/>
    <w:rsid w:val="00D1738A"/>
    <w:rsid w:val="00D173C5"/>
    <w:rsid w:val="00D20480"/>
    <w:rsid w:val="00D223D9"/>
    <w:rsid w:val="00D24CCD"/>
    <w:rsid w:val="00D26BD8"/>
    <w:rsid w:val="00D303C1"/>
    <w:rsid w:val="00D30428"/>
    <w:rsid w:val="00D309AA"/>
    <w:rsid w:val="00D3313A"/>
    <w:rsid w:val="00D34F21"/>
    <w:rsid w:val="00D434CA"/>
    <w:rsid w:val="00D463DF"/>
    <w:rsid w:val="00D46E9A"/>
    <w:rsid w:val="00D50B73"/>
    <w:rsid w:val="00D51A48"/>
    <w:rsid w:val="00D52922"/>
    <w:rsid w:val="00D546BB"/>
    <w:rsid w:val="00D555E8"/>
    <w:rsid w:val="00D57D05"/>
    <w:rsid w:val="00D65070"/>
    <w:rsid w:val="00D65C04"/>
    <w:rsid w:val="00D71102"/>
    <w:rsid w:val="00D72C00"/>
    <w:rsid w:val="00D8005D"/>
    <w:rsid w:val="00D81224"/>
    <w:rsid w:val="00D831D6"/>
    <w:rsid w:val="00D8373C"/>
    <w:rsid w:val="00D8491D"/>
    <w:rsid w:val="00D8771E"/>
    <w:rsid w:val="00D903FC"/>
    <w:rsid w:val="00D92478"/>
    <w:rsid w:val="00D95C16"/>
    <w:rsid w:val="00D96574"/>
    <w:rsid w:val="00D965F3"/>
    <w:rsid w:val="00DA3B5D"/>
    <w:rsid w:val="00DA6536"/>
    <w:rsid w:val="00DA7BE2"/>
    <w:rsid w:val="00DB30A1"/>
    <w:rsid w:val="00DB4AE4"/>
    <w:rsid w:val="00DB516E"/>
    <w:rsid w:val="00DB5DF7"/>
    <w:rsid w:val="00DB6C07"/>
    <w:rsid w:val="00DC1028"/>
    <w:rsid w:val="00DC123A"/>
    <w:rsid w:val="00DC1CD1"/>
    <w:rsid w:val="00DC1FBA"/>
    <w:rsid w:val="00DC2FE5"/>
    <w:rsid w:val="00DC374B"/>
    <w:rsid w:val="00DC6650"/>
    <w:rsid w:val="00DD07E8"/>
    <w:rsid w:val="00DD3217"/>
    <w:rsid w:val="00DD3B69"/>
    <w:rsid w:val="00DD55C2"/>
    <w:rsid w:val="00DD7E8E"/>
    <w:rsid w:val="00DE0A9F"/>
    <w:rsid w:val="00DE1376"/>
    <w:rsid w:val="00DE5201"/>
    <w:rsid w:val="00DE5D97"/>
    <w:rsid w:val="00DE6E79"/>
    <w:rsid w:val="00DF08D1"/>
    <w:rsid w:val="00DF2697"/>
    <w:rsid w:val="00DF2863"/>
    <w:rsid w:val="00DF59A9"/>
    <w:rsid w:val="00DF5D76"/>
    <w:rsid w:val="00DF6716"/>
    <w:rsid w:val="00DF6FEF"/>
    <w:rsid w:val="00E0312D"/>
    <w:rsid w:val="00E03ED9"/>
    <w:rsid w:val="00E04BE7"/>
    <w:rsid w:val="00E06D86"/>
    <w:rsid w:val="00E1291B"/>
    <w:rsid w:val="00E15CBC"/>
    <w:rsid w:val="00E17485"/>
    <w:rsid w:val="00E17E4B"/>
    <w:rsid w:val="00E17F5B"/>
    <w:rsid w:val="00E20A2C"/>
    <w:rsid w:val="00E23043"/>
    <w:rsid w:val="00E24408"/>
    <w:rsid w:val="00E278F5"/>
    <w:rsid w:val="00E31649"/>
    <w:rsid w:val="00E32F47"/>
    <w:rsid w:val="00E40ABB"/>
    <w:rsid w:val="00E428EA"/>
    <w:rsid w:val="00E503E1"/>
    <w:rsid w:val="00E50F53"/>
    <w:rsid w:val="00E51605"/>
    <w:rsid w:val="00E52914"/>
    <w:rsid w:val="00E54152"/>
    <w:rsid w:val="00E562B1"/>
    <w:rsid w:val="00E56714"/>
    <w:rsid w:val="00E60447"/>
    <w:rsid w:val="00E64D32"/>
    <w:rsid w:val="00E651CC"/>
    <w:rsid w:val="00E668E4"/>
    <w:rsid w:val="00E7183C"/>
    <w:rsid w:val="00E73074"/>
    <w:rsid w:val="00E734F4"/>
    <w:rsid w:val="00E73E77"/>
    <w:rsid w:val="00E73F79"/>
    <w:rsid w:val="00E74822"/>
    <w:rsid w:val="00E75641"/>
    <w:rsid w:val="00E7579D"/>
    <w:rsid w:val="00E77408"/>
    <w:rsid w:val="00E8056C"/>
    <w:rsid w:val="00E823AE"/>
    <w:rsid w:val="00E85483"/>
    <w:rsid w:val="00E87852"/>
    <w:rsid w:val="00E9019B"/>
    <w:rsid w:val="00E91A51"/>
    <w:rsid w:val="00E920CC"/>
    <w:rsid w:val="00E932D7"/>
    <w:rsid w:val="00E93888"/>
    <w:rsid w:val="00E9577A"/>
    <w:rsid w:val="00E972A2"/>
    <w:rsid w:val="00E97BEA"/>
    <w:rsid w:val="00EA162B"/>
    <w:rsid w:val="00EA227C"/>
    <w:rsid w:val="00EA294F"/>
    <w:rsid w:val="00EA48F6"/>
    <w:rsid w:val="00EA5E1F"/>
    <w:rsid w:val="00EA7293"/>
    <w:rsid w:val="00EA7816"/>
    <w:rsid w:val="00EB1220"/>
    <w:rsid w:val="00EB1691"/>
    <w:rsid w:val="00EB2B52"/>
    <w:rsid w:val="00EB55FF"/>
    <w:rsid w:val="00EB712A"/>
    <w:rsid w:val="00EB73A4"/>
    <w:rsid w:val="00EB794F"/>
    <w:rsid w:val="00EC13F6"/>
    <w:rsid w:val="00EC32A2"/>
    <w:rsid w:val="00EC32FB"/>
    <w:rsid w:val="00EC489A"/>
    <w:rsid w:val="00EC66CE"/>
    <w:rsid w:val="00ED1321"/>
    <w:rsid w:val="00ED259D"/>
    <w:rsid w:val="00ED4ECD"/>
    <w:rsid w:val="00ED6A8D"/>
    <w:rsid w:val="00ED71CA"/>
    <w:rsid w:val="00ED77D3"/>
    <w:rsid w:val="00EE1293"/>
    <w:rsid w:val="00EE17F7"/>
    <w:rsid w:val="00EE199F"/>
    <w:rsid w:val="00EE3201"/>
    <w:rsid w:val="00EE6FDE"/>
    <w:rsid w:val="00EE7121"/>
    <w:rsid w:val="00EF1751"/>
    <w:rsid w:val="00EF4991"/>
    <w:rsid w:val="00EF5F30"/>
    <w:rsid w:val="00F02173"/>
    <w:rsid w:val="00F026DA"/>
    <w:rsid w:val="00F0404F"/>
    <w:rsid w:val="00F04663"/>
    <w:rsid w:val="00F05077"/>
    <w:rsid w:val="00F06B4B"/>
    <w:rsid w:val="00F10222"/>
    <w:rsid w:val="00F133DD"/>
    <w:rsid w:val="00F17E58"/>
    <w:rsid w:val="00F26C6F"/>
    <w:rsid w:val="00F2717F"/>
    <w:rsid w:val="00F3466A"/>
    <w:rsid w:val="00F34F92"/>
    <w:rsid w:val="00F354C6"/>
    <w:rsid w:val="00F375E5"/>
    <w:rsid w:val="00F37F03"/>
    <w:rsid w:val="00F37FCB"/>
    <w:rsid w:val="00F4049C"/>
    <w:rsid w:val="00F40D2B"/>
    <w:rsid w:val="00F42E48"/>
    <w:rsid w:val="00F447D9"/>
    <w:rsid w:val="00F45A29"/>
    <w:rsid w:val="00F45A34"/>
    <w:rsid w:val="00F4644C"/>
    <w:rsid w:val="00F4686F"/>
    <w:rsid w:val="00F509E4"/>
    <w:rsid w:val="00F52FBC"/>
    <w:rsid w:val="00F53FCA"/>
    <w:rsid w:val="00F563EA"/>
    <w:rsid w:val="00F57B33"/>
    <w:rsid w:val="00F66127"/>
    <w:rsid w:val="00F74CF7"/>
    <w:rsid w:val="00F76FFD"/>
    <w:rsid w:val="00F77B92"/>
    <w:rsid w:val="00F77F7E"/>
    <w:rsid w:val="00F848A2"/>
    <w:rsid w:val="00F86EDD"/>
    <w:rsid w:val="00F87641"/>
    <w:rsid w:val="00F9148F"/>
    <w:rsid w:val="00F91C4A"/>
    <w:rsid w:val="00F97723"/>
    <w:rsid w:val="00F97AEF"/>
    <w:rsid w:val="00FA0233"/>
    <w:rsid w:val="00FA0633"/>
    <w:rsid w:val="00FA1682"/>
    <w:rsid w:val="00FA2B3B"/>
    <w:rsid w:val="00FA4225"/>
    <w:rsid w:val="00FA68DA"/>
    <w:rsid w:val="00FA7428"/>
    <w:rsid w:val="00FB03AC"/>
    <w:rsid w:val="00FB560C"/>
    <w:rsid w:val="00FB5988"/>
    <w:rsid w:val="00FB75FE"/>
    <w:rsid w:val="00FC1B07"/>
    <w:rsid w:val="00FC2EEC"/>
    <w:rsid w:val="00FC2F8A"/>
    <w:rsid w:val="00FC3F78"/>
    <w:rsid w:val="00FC6545"/>
    <w:rsid w:val="00FD061A"/>
    <w:rsid w:val="00FD31A8"/>
    <w:rsid w:val="00FD5CB2"/>
    <w:rsid w:val="00FD66E5"/>
    <w:rsid w:val="00FE52AC"/>
    <w:rsid w:val="00FE5A6B"/>
    <w:rsid w:val="00FF1E78"/>
    <w:rsid w:val="00FF1FC2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30DD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62F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223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C053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530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C05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F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FC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23D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53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053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530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730DD5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30D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3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30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DD5"/>
    <w:pPr>
      <w:ind w:left="720"/>
      <w:contextualSpacing/>
    </w:pPr>
  </w:style>
  <w:style w:type="paragraph" w:customStyle="1" w:styleId="ConsPlusCell">
    <w:name w:val="ConsPlusCell"/>
    <w:uiPriority w:val="99"/>
    <w:rsid w:val="00730D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1">
    <w:name w:val="Body Text 2"/>
    <w:basedOn w:val="a"/>
    <w:link w:val="22"/>
    <w:uiPriority w:val="99"/>
    <w:unhideWhenUsed/>
    <w:rsid w:val="00C130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13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62F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62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C306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0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BC3068"/>
    <w:rPr>
      <w:rFonts w:cs="Times New Roman"/>
    </w:rPr>
  </w:style>
  <w:style w:type="paragraph" w:styleId="ac">
    <w:name w:val="Balloon Text"/>
    <w:basedOn w:val="a"/>
    <w:link w:val="ad"/>
    <w:rsid w:val="00BC30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30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F4049C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F404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rsid w:val="005F1F86"/>
  </w:style>
  <w:style w:type="character" w:customStyle="1" w:styleId="11">
    <w:name w:val="Текст примечания Знак1"/>
    <w:basedOn w:val="a0"/>
    <w:rsid w:val="005F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rsid w:val="005F1F86"/>
    <w:rPr>
      <w:b/>
      <w:bCs/>
    </w:rPr>
  </w:style>
  <w:style w:type="character" w:customStyle="1" w:styleId="12">
    <w:name w:val="Тема примечания Знак1"/>
    <w:basedOn w:val="11"/>
    <w:rsid w:val="005F1F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A34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Текст выноски Знак1"/>
    <w:basedOn w:val="a0"/>
    <w:rsid w:val="00E932D7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unhideWhenUsed/>
    <w:rsid w:val="006009CD"/>
    <w:rPr>
      <w:sz w:val="16"/>
      <w:szCs w:val="16"/>
    </w:rPr>
  </w:style>
  <w:style w:type="paragraph" w:styleId="af5">
    <w:name w:val="footnote text"/>
    <w:basedOn w:val="a"/>
    <w:link w:val="af6"/>
    <w:unhideWhenUsed/>
    <w:rsid w:val="001E1F83"/>
  </w:style>
  <w:style w:type="character" w:customStyle="1" w:styleId="af6">
    <w:name w:val="Текст сноски Знак"/>
    <w:basedOn w:val="a0"/>
    <w:link w:val="af5"/>
    <w:rsid w:val="001E1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C6019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C601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9">
    <w:name w:val="No Spacing"/>
    <w:uiPriority w:val="1"/>
    <w:qFormat/>
    <w:rsid w:val="00A7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C0530D"/>
    <w:pPr>
      <w:spacing w:after="120"/>
    </w:pPr>
  </w:style>
  <w:style w:type="character" w:customStyle="1" w:styleId="afb">
    <w:name w:val="Основной текст Знак"/>
    <w:basedOn w:val="a0"/>
    <w:link w:val="afa"/>
    <w:rsid w:val="00C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53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C0530D"/>
    <w:pPr>
      <w:keepNext/>
    </w:pPr>
    <w:rPr>
      <w:snapToGrid w:val="0"/>
      <w:sz w:val="28"/>
    </w:rPr>
  </w:style>
  <w:style w:type="character" w:styleId="afc">
    <w:name w:val="footnote reference"/>
    <w:rsid w:val="00C0530D"/>
    <w:rPr>
      <w:vertAlign w:val="superscript"/>
    </w:rPr>
  </w:style>
  <w:style w:type="paragraph" w:customStyle="1" w:styleId="ConsPlusNormal">
    <w:name w:val="ConsPlusNormal"/>
    <w:rsid w:val="00C05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Акт"/>
    <w:basedOn w:val="a"/>
    <w:rsid w:val="00C0530D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C053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053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C0530D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C0530D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C0530D"/>
    <w:pPr>
      <w:ind w:left="720"/>
      <w:contextualSpacing/>
    </w:pPr>
    <w:rPr>
      <w:rFonts w:eastAsia="Calibri"/>
    </w:rPr>
  </w:style>
  <w:style w:type="paragraph" w:styleId="afe">
    <w:name w:val="Block Text"/>
    <w:basedOn w:val="a"/>
    <w:rsid w:val="00C0530D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C0530D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5918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eft">
    <w:name w:val="left"/>
    <w:rsid w:val="00083119"/>
  </w:style>
  <w:style w:type="table" w:customStyle="1" w:styleId="26">
    <w:name w:val="Сетка таблицы2"/>
    <w:basedOn w:val="a1"/>
    <w:next w:val="a5"/>
    <w:uiPriority w:val="59"/>
    <w:rsid w:val="0008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083119"/>
    <w:rPr>
      <w:color w:val="0000FF"/>
      <w:u w:val="single"/>
    </w:rPr>
  </w:style>
  <w:style w:type="paragraph" w:customStyle="1" w:styleId="font5">
    <w:name w:val="font5"/>
    <w:basedOn w:val="a"/>
    <w:rsid w:val="0008311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8311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5">
    <w:name w:val="xl65"/>
    <w:basedOn w:val="a"/>
    <w:rsid w:val="000831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083119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08311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0831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8311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08311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83119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08311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08311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831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05">
    <w:name w:val="xl105"/>
    <w:basedOn w:val="a"/>
    <w:rsid w:val="000831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831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09">
    <w:name w:val="xl109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0">
    <w:name w:val="xl110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11">
    <w:name w:val="xl111"/>
    <w:basedOn w:val="a"/>
    <w:rsid w:val="000831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831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831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831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0831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CA3D-72A2-464F-A87E-4804980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21341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2017-03-01T13:45:00Z</cp:lastPrinted>
  <dcterms:created xsi:type="dcterms:W3CDTF">2017-06-07T08:02:00Z</dcterms:created>
  <dcterms:modified xsi:type="dcterms:W3CDTF">2017-06-07T08:55:00Z</dcterms:modified>
</cp:coreProperties>
</file>