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1805" w14:textId="6DEDE9DA" w:rsidR="00F275EA" w:rsidRPr="00680EAD" w:rsidRDefault="00A25F71" w:rsidP="00680EAD">
      <w:pPr>
        <w:tabs>
          <w:tab w:val="left" w:pos="0"/>
          <w:tab w:val="left" w:pos="993"/>
        </w:tabs>
        <w:spacing w:before="240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680EAD">
        <w:rPr>
          <w:sz w:val="28"/>
        </w:rPr>
        <w:t xml:space="preserve"> </w:t>
      </w:r>
      <w:r w:rsidR="009B6098" w:rsidRPr="00680EAD">
        <w:rPr>
          <w:sz w:val="28"/>
        </w:rPr>
        <w:t>В Сборник вознаграждений за операции, осуществляемые ОАО «БПС-Сбербанк» от 20.12.2016 № 01/01</w:t>
      </w:r>
      <w:r w:rsidR="009B6098" w:rsidRPr="00680EAD">
        <w:rPr>
          <w:sz w:val="28"/>
        </w:rPr>
        <w:noBreakHyphen/>
        <w:t xml:space="preserve">07/606, (далее – Сборник)  с </w:t>
      </w:r>
      <w:r w:rsidR="00680EAD" w:rsidRPr="00680EAD">
        <w:rPr>
          <w:sz w:val="28"/>
        </w:rPr>
        <w:t>11</w:t>
      </w:r>
      <w:r w:rsidR="009B6098" w:rsidRPr="00680EAD">
        <w:rPr>
          <w:sz w:val="28"/>
        </w:rPr>
        <w:t>.0</w:t>
      </w:r>
      <w:r w:rsidR="00680EAD" w:rsidRPr="00680EAD">
        <w:rPr>
          <w:sz w:val="28"/>
        </w:rPr>
        <w:t>9</w:t>
      </w:r>
      <w:r w:rsidR="009B6098" w:rsidRPr="00680EAD">
        <w:rPr>
          <w:sz w:val="28"/>
        </w:rPr>
        <w:t>.2020 внесены следующие изменения:</w:t>
      </w:r>
    </w:p>
    <w:p w14:paraId="18B5E871" w14:textId="3EEBF68E" w:rsidR="00680EAD" w:rsidRPr="00FB65BA" w:rsidRDefault="00680EAD" w:rsidP="00680EAD">
      <w:pPr>
        <w:pStyle w:val="a3"/>
        <w:tabs>
          <w:tab w:val="left" w:pos="1134"/>
        </w:tabs>
        <w:ind w:left="709"/>
        <w:jc w:val="both"/>
        <w:rPr>
          <w:sz w:val="28"/>
          <w:szCs w:val="24"/>
        </w:rPr>
      </w:pPr>
      <w:r>
        <w:rPr>
          <w:sz w:val="28"/>
        </w:rPr>
        <w:t>1.</w:t>
      </w:r>
      <w:r w:rsidRPr="00FB65BA">
        <w:rPr>
          <w:sz w:val="28"/>
        </w:rPr>
        <w:t xml:space="preserve"> </w:t>
      </w:r>
      <w:r w:rsidRPr="00FB65BA">
        <w:rPr>
          <w:sz w:val="28"/>
          <w:szCs w:val="28"/>
        </w:rPr>
        <w:t xml:space="preserve"> подпункты 1.1.3.1-1.1.8.1 раздела 1.1 Сборника излож</w:t>
      </w:r>
      <w:r>
        <w:rPr>
          <w:sz w:val="28"/>
          <w:szCs w:val="28"/>
        </w:rPr>
        <w:t>ены</w:t>
      </w:r>
      <w:r w:rsidRPr="00FB65BA">
        <w:rPr>
          <w:sz w:val="28"/>
          <w:szCs w:val="28"/>
        </w:rPr>
        <w:t xml:space="preserve"> в следующей редакции:</w:t>
      </w:r>
    </w:p>
    <w:p w14:paraId="15A2F685" w14:textId="77777777" w:rsidR="00680EAD" w:rsidRPr="00FB65BA" w:rsidRDefault="00680EAD" w:rsidP="00680EAD">
      <w:pPr>
        <w:pStyle w:val="a3"/>
        <w:tabs>
          <w:tab w:val="left" w:pos="1134"/>
        </w:tabs>
        <w:ind w:left="709"/>
        <w:rPr>
          <w:sz w:val="28"/>
          <w:szCs w:val="28"/>
        </w:rPr>
      </w:pPr>
      <w:r w:rsidRPr="00FB65BA">
        <w:rPr>
          <w:sz w:val="28"/>
          <w:szCs w:val="28"/>
        </w:rPr>
        <w:t>«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817"/>
        <w:gridCol w:w="3254"/>
        <w:gridCol w:w="1591"/>
        <w:gridCol w:w="1039"/>
        <w:gridCol w:w="1039"/>
        <w:gridCol w:w="6856"/>
      </w:tblGrid>
      <w:tr w:rsidR="00680EAD" w:rsidRPr="00FB65BA" w14:paraId="32F92741" w14:textId="77777777" w:rsidTr="004052DF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FA06" w14:textId="77777777" w:rsidR="00680EAD" w:rsidRPr="00FB65BA" w:rsidRDefault="00680EAD" w:rsidP="004052DF">
            <w:r w:rsidRPr="00FB65BA">
              <w:t>1.1.3.1.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8A61" w14:textId="77777777" w:rsidR="00680EAD" w:rsidRPr="00FB65BA" w:rsidRDefault="00680EAD" w:rsidP="004052DF">
            <w:r w:rsidRPr="00FB65BA">
              <w:t>Удостоверение доверенности, завещательного распоряжения по счет</w:t>
            </w:r>
            <w:proofErr w:type="gramStart"/>
            <w:r w:rsidRPr="00FB65BA">
              <w:t>у(</w:t>
            </w:r>
            <w:proofErr w:type="gramEnd"/>
            <w:r w:rsidRPr="00FB65BA">
              <w:t>-</w:t>
            </w:r>
            <w:proofErr w:type="spellStart"/>
            <w:r w:rsidRPr="00FB65BA">
              <w:t>ам</w:t>
            </w:r>
            <w:proofErr w:type="spellEnd"/>
            <w:r w:rsidRPr="00FB65BA">
              <w:t xml:space="preserve">) клиентам за исключением участников  и инвалидов Великой Отечественной войны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68AE" w14:textId="77777777" w:rsidR="00680EAD" w:rsidRPr="00FB65BA" w:rsidRDefault="00680EAD" w:rsidP="004052DF">
            <w:pPr>
              <w:jc w:val="center"/>
            </w:pPr>
            <w:r w:rsidRPr="00FB65BA">
              <w:t>15.00 BYN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B2F4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903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64B826" w14:textId="77777777" w:rsidR="00680EAD" w:rsidRPr="00FB65BA" w:rsidRDefault="00680EAD" w:rsidP="004052DF">
            <w:r w:rsidRPr="00FB65BA">
              <w:t xml:space="preserve">Пункт распространяется на счета в белорусских рублях и иностранной валюте. Вознаграждение </w:t>
            </w:r>
            <w:proofErr w:type="spellStart"/>
            <w:r w:rsidRPr="00FB65BA">
              <w:t>взимает</w:t>
            </w:r>
            <w:proofErr w:type="gramStart"/>
            <w:r w:rsidRPr="00FB65BA">
              <w:t>c</w:t>
            </w:r>
            <w:proofErr w:type="gramEnd"/>
            <w:r w:rsidRPr="00FB65BA">
              <w:t>я</w:t>
            </w:r>
            <w:proofErr w:type="spellEnd"/>
            <w:r w:rsidRPr="00FB65BA">
              <w:t xml:space="preserve"> за один документ.</w:t>
            </w:r>
          </w:p>
        </w:tc>
      </w:tr>
      <w:tr w:rsidR="00680EAD" w:rsidRPr="00FB65BA" w14:paraId="36FD02F5" w14:textId="77777777" w:rsidTr="004052DF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AADB" w14:textId="77777777" w:rsidR="00680EAD" w:rsidRPr="00FB65BA" w:rsidRDefault="00680EAD" w:rsidP="004052DF">
            <w:r w:rsidRPr="00FB65BA">
              <w:t>1.1.4.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44EF" w14:textId="77777777" w:rsidR="00680EAD" w:rsidRPr="00FB65BA" w:rsidRDefault="00680EAD" w:rsidP="004052DF">
            <w:r w:rsidRPr="00FB65BA">
              <w:t>Оформление и выдача справок по запросу физического лица: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990" w14:textId="77777777" w:rsidR="00680EAD" w:rsidRPr="00FB65BA" w:rsidRDefault="00680EAD" w:rsidP="004052DF">
            <w:pPr>
              <w:jc w:val="center"/>
              <w:rPr>
                <w:strike/>
              </w:rPr>
            </w:pPr>
            <w:r w:rsidRPr="00FB65BA">
              <w:rPr>
                <w:strike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6301" w14:textId="77777777" w:rsidR="00680EAD" w:rsidRPr="00FB65BA" w:rsidRDefault="00680EAD" w:rsidP="004052DF">
            <w:pPr>
              <w:jc w:val="center"/>
            </w:pPr>
            <w:r w:rsidRPr="00FB65BA"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119" w14:textId="77777777" w:rsidR="00680EAD" w:rsidRPr="00FB65BA" w:rsidRDefault="00680EAD" w:rsidP="004052DF">
            <w:pPr>
              <w:jc w:val="center"/>
            </w:pPr>
            <w:r w:rsidRPr="00FB65BA">
              <w:t> 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295DB6" w14:textId="77777777" w:rsidR="00680EAD" w:rsidRPr="00FB65BA" w:rsidRDefault="00680EAD" w:rsidP="004052DF">
            <w:pPr>
              <w:rPr>
                <w:strike/>
              </w:rPr>
            </w:pPr>
          </w:p>
        </w:tc>
      </w:tr>
      <w:tr w:rsidR="00680EAD" w:rsidRPr="00FB65BA" w14:paraId="547BC921" w14:textId="77777777" w:rsidTr="004052DF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43F4" w14:textId="77777777" w:rsidR="00680EAD" w:rsidRPr="00FB65BA" w:rsidRDefault="00680EAD" w:rsidP="004052DF">
            <w:r w:rsidRPr="00FB65BA">
              <w:t>1.1.4.1.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9E0A" w14:textId="77777777" w:rsidR="00680EAD" w:rsidRPr="00FB65BA" w:rsidRDefault="00680EAD" w:rsidP="004052DF">
            <w:r w:rsidRPr="00FB65BA">
              <w:t>о наличии счетов в Банке, остатков и движении по ним, иных справок, касающихся банковских операций, за исключением справок по кредитным договорам и операциям с ними, не позднее следующего банковского дня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BA87" w14:textId="77777777" w:rsidR="00680EAD" w:rsidRPr="00FB65BA" w:rsidRDefault="00680EAD" w:rsidP="004052DF">
            <w:pPr>
              <w:jc w:val="center"/>
            </w:pPr>
            <w:r w:rsidRPr="00FB65BA">
              <w:t>25.00 BYN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9F2A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EB18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02D395" w14:textId="77777777" w:rsidR="00680EAD" w:rsidRPr="00FB65BA" w:rsidRDefault="00680EAD" w:rsidP="004052DF">
            <w:r w:rsidRPr="00FB65BA">
              <w:t>Пункт распространяется на счета и операции в белорусских рублях и иностранной валюте. Вознаграждение взимается в момент обращения клиента. Операция проводится в случае наличия информации в Банке согласно запросу клиента.</w:t>
            </w:r>
          </w:p>
        </w:tc>
      </w:tr>
      <w:tr w:rsidR="00680EAD" w:rsidRPr="00FB65BA" w14:paraId="5F2473E6" w14:textId="77777777" w:rsidTr="004052DF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D433" w14:textId="77777777" w:rsidR="00680EAD" w:rsidRPr="00FB65BA" w:rsidRDefault="00680EAD" w:rsidP="004052DF">
            <w:r w:rsidRPr="00FB65BA">
              <w:t>1.1.4.2.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80DE" w14:textId="77777777" w:rsidR="00680EAD" w:rsidRPr="00FB65BA" w:rsidRDefault="00680EAD" w:rsidP="004052DF">
            <w:r w:rsidRPr="00FB65BA">
              <w:t>о наличии счетов в Банке, остатков и движении по ним, иных справок, касающихся банковских операций, за исключением справок по кредитным договорам и операциям с ними, в иные сроки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A468" w14:textId="77777777" w:rsidR="00680EAD" w:rsidRPr="00FB65BA" w:rsidRDefault="00680EAD" w:rsidP="004052DF">
            <w:pPr>
              <w:jc w:val="center"/>
              <w:rPr>
                <w:strike/>
              </w:rPr>
            </w:pPr>
            <w:r w:rsidRPr="00FB65BA">
              <w:t>20.00 BYN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08DE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F362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FDBC0F" w14:textId="77777777" w:rsidR="00680EAD" w:rsidRPr="00FB65BA" w:rsidRDefault="00680EAD" w:rsidP="004052DF">
            <w:r w:rsidRPr="00FB65BA">
              <w:t>Пункт распространяется на счета и операции в белорусских рублях и иностранной валюте. Вознаграждение взимается в момент обращения клиента. Операция проводится в случае наличия информации в Банке согласно запросу клиента.</w:t>
            </w:r>
          </w:p>
        </w:tc>
      </w:tr>
      <w:tr w:rsidR="00680EAD" w:rsidRPr="00FB65BA" w14:paraId="126B5AC3" w14:textId="77777777" w:rsidTr="004052DF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2057" w14:textId="77777777" w:rsidR="00680EAD" w:rsidRPr="00FB65BA" w:rsidRDefault="00680EAD" w:rsidP="004052DF">
            <w:r w:rsidRPr="00FB65BA">
              <w:t>1.1.4.3.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5EA7" w14:textId="77777777" w:rsidR="00680EAD" w:rsidRPr="00FB65BA" w:rsidRDefault="00680EAD" w:rsidP="004052DF">
            <w:r w:rsidRPr="00FB65BA">
              <w:t>о наличии счетов в Банке, остатков и движении по ним, иных справок по банковским операциям за период свыше 3 лет, за исключением справок по кредитным договорам и операциям с ними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1D96" w14:textId="77777777" w:rsidR="00680EAD" w:rsidRPr="00FB65BA" w:rsidRDefault="00680EAD" w:rsidP="004052DF">
            <w:pPr>
              <w:jc w:val="center"/>
            </w:pPr>
            <w:r w:rsidRPr="00FB65BA">
              <w:rPr>
                <w:bCs/>
                <w:lang w:val="en-US"/>
              </w:rPr>
              <w:t>3</w:t>
            </w:r>
            <w:r w:rsidRPr="00FB65BA">
              <w:rPr>
                <w:bCs/>
              </w:rPr>
              <w:t xml:space="preserve">0 </w:t>
            </w:r>
            <w:r w:rsidRPr="00FB65BA">
              <w:rPr>
                <w:bCs/>
                <w:lang w:val="en-US"/>
              </w:rPr>
              <w:t>BYN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D324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923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33D47B" w14:textId="77777777" w:rsidR="00680EAD" w:rsidRPr="00FB65BA" w:rsidRDefault="00680EAD" w:rsidP="004052DF">
            <w:r w:rsidRPr="00FB65BA">
              <w:t>Пункт распространяется на счета и операции в белорусских рублях и иностранной валюте. Вознаграждение взимается в момент обращения клиента. Операция проводится в случае наличия информации в Банке согласно запросу клиента.</w:t>
            </w:r>
          </w:p>
        </w:tc>
      </w:tr>
      <w:tr w:rsidR="00680EAD" w:rsidRPr="00FB65BA" w14:paraId="67FD25DC" w14:textId="77777777" w:rsidTr="004052DF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A9C8" w14:textId="77777777" w:rsidR="00680EAD" w:rsidRPr="00FB65BA" w:rsidRDefault="00680EAD" w:rsidP="004052DF">
            <w:pPr>
              <w:rPr>
                <w:strike/>
              </w:rPr>
            </w:pPr>
            <w:r w:rsidRPr="00FB65BA">
              <w:t>1.1.4.4.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2750" w14:textId="77777777" w:rsidR="00680EAD" w:rsidRPr="00FB65BA" w:rsidRDefault="00680EAD" w:rsidP="004052DF">
            <w:r w:rsidRPr="00FB65BA">
              <w:t>по кредитным договорам и операциям с ними  не позднее следующего банковского дня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F0BE" w14:textId="77777777" w:rsidR="00680EAD" w:rsidRPr="00FB65BA" w:rsidRDefault="00680EAD" w:rsidP="004052DF">
            <w:pPr>
              <w:jc w:val="center"/>
            </w:pPr>
            <w:r w:rsidRPr="00FB65BA">
              <w:t>18.00 BYN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8A35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DD48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7EFEAF" w14:textId="77777777" w:rsidR="00680EAD" w:rsidRPr="00FB65BA" w:rsidRDefault="00680EAD" w:rsidP="004052DF">
            <w:r w:rsidRPr="00FB65BA">
              <w:t>Пункт не распространяется при кредитовании в рамках Указа №240. Вознаграждение не взимается при оформлении и выдаче одной справки в течение календарного месяца в рамках одного кредитного договора.</w:t>
            </w:r>
          </w:p>
        </w:tc>
      </w:tr>
      <w:tr w:rsidR="00680EAD" w:rsidRPr="00FB65BA" w14:paraId="0F1CA595" w14:textId="77777777" w:rsidTr="004052DF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6227" w14:textId="77777777" w:rsidR="00680EAD" w:rsidRPr="00FB65BA" w:rsidRDefault="00680EAD" w:rsidP="004052DF">
            <w:pPr>
              <w:rPr>
                <w:strike/>
              </w:rPr>
            </w:pPr>
            <w:r w:rsidRPr="00FB65BA">
              <w:t>1.1.4.5.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6E52" w14:textId="77777777" w:rsidR="00680EAD" w:rsidRPr="00FB65BA" w:rsidRDefault="00680EAD" w:rsidP="004052DF">
            <w:r w:rsidRPr="00FB65BA">
              <w:t>по кредитным договорам и операциям с ними в иные сроки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3F3F" w14:textId="77777777" w:rsidR="00680EAD" w:rsidRPr="00FB65BA" w:rsidRDefault="00680EAD" w:rsidP="004052DF">
            <w:pPr>
              <w:jc w:val="center"/>
            </w:pPr>
            <w:r w:rsidRPr="00FB65BA">
              <w:t>15.00 BYN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064F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0E45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17336D" w14:textId="77777777" w:rsidR="00680EAD" w:rsidRPr="00FB65BA" w:rsidRDefault="00680EAD" w:rsidP="004052DF">
            <w:r w:rsidRPr="00FB65BA">
              <w:t>Пункт не распространяется при кредитовании в рамках Указа №240. Вознаграждение не взимается при оформлении и выдаче одной справки в течение календарного месяца в рамках одного кредитного договора.</w:t>
            </w:r>
          </w:p>
        </w:tc>
      </w:tr>
      <w:tr w:rsidR="00680EAD" w:rsidRPr="00FB65BA" w14:paraId="22D0B8E6" w14:textId="77777777" w:rsidTr="004052DF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F575" w14:textId="77777777" w:rsidR="00680EAD" w:rsidRPr="00FB65BA" w:rsidRDefault="00680EAD" w:rsidP="004052DF">
            <w:pPr>
              <w:rPr>
                <w:strike/>
              </w:rPr>
            </w:pPr>
            <w:r w:rsidRPr="00FB65BA">
              <w:t>1.1.4.6.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6969" w14:textId="77777777" w:rsidR="00680EAD" w:rsidRPr="00FB65BA" w:rsidRDefault="00680EAD" w:rsidP="004052DF">
            <w:r w:rsidRPr="00FB65BA">
              <w:t xml:space="preserve">по кредитным договорам и </w:t>
            </w:r>
            <w:r w:rsidRPr="00FB65BA">
              <w:lastRenderedPageBreak/>
              <w:t>операциям с ними, с момента закрытия которых прошло более 3-х лет на дату обращения клиента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CE2A" w14:textId="77777777" w:rsidR="00680EAD" w:rsidRPr="00FB65BA" w:rsidRDefault="00680EAD" w:rsidP="004052DF">
            <w:pPr>
              <w:jc w:val="center"/>
            </w:pPr>
            <w:r w:rsidRPr="00FB65BA">
              <w:lastRenderedPageBreak/>
              <w:t>25.00 BYN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061D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4CBE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CEF66E" w14:textId="77777777" w:rsidR="00680EAD" w:rsidRPr="00FB65BA" w:rsidRDefault="00680EAD" w:rsidP="004052DF">
            <w:r w:rsidRPr="00FB65BA">
              <w:t>Пункт не распространяется при кредитовании в рамках Указа №240.</w:t>
            </w:r>
          </w:p>
        </w:tc>
      </w:tr>
      <w:tr w:rsidR="00680EAD" w:rsidRPr="00FB65BA" w14:paraId="48351EFE" w14:textId="77777777" w:rsidTr="004052DF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085A" w14:textId="77777777" w:rsidR="00680EAD" w:rsidRPr="00FB65BA" w:rsidRDefault="00680EAD" w:rsidP="004052DF">
            <w:r w:rsidRPr="00FB65BA">
              <w:rPr>
                <w:sz w:val="18"/>
                <w:szCs w:val="18"/>
              </w:rPr>
              <w:lastRenderedPageBreak/>
              <w:t>1.1.5.1.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3266" w14:textId="77777777" w:rsidR="00680EAD" w:rsidRPr="00FB65BA" w:rsidRDefault="00680EAD" w:rsidP="004052DF">
            <w:r w:rsidRPr="00FB65BA">
              <w:rPr>
                <w:sz w:val="18"/>
                <w:szCs w:val="18"/>
              </w:rPr>
              <w:t>Дополнительное вознаграждение за оформление справки на английском языке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3464" w14:textId="77777777" w:rsidR="00680EAD" w:rsidRPr="00FB65BA" w:rsidRDefault="00680EAD" w:rsidP="004052DF">
            <w:pPr>
              <w:jc w:val="center"/>
              <w:rPr>
                <w:strike/>
              </w:rPr>
            </w:pPr>
            <w:r w:rsidRPr="00FB65BA">
              <w:rPr>
                <w:bCs/>
                <w:sz w:val="18"/>
                <w:szCs w:val="18"/>
              </w:rPr>
              <w:t>20.00 BYN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C927" w14:textId="77777777" w:rsidR="00680EAD" w:rsidRPr="00FB65BA" w:rsidRDefault="00680EAD" w:rsidP="004052DF">
            <w:pPr>
              <w:jc w:val="center"/>
            </w:pPr>
            <w:r w:rsidRPr="00FB65BA"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BB6D" w14:textId="77777777" w:rsidR="00680EAD" w:rsidRPr="00FB65BA" w:rsidRDefault="00680EAD" w:rsidP="004052DF">
            <w:pPr>
              <w:jc w:val="center"/>
            </w:pPr>
            <w:r w:rsidRPr="00FB65BA">
              <w:rPr>
                <w:sz w:val="18"/>
                <w:szCs w:val="18"/>
              </w:rPr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B4F31C5" w14:textId="77777777" w:rsidR="00680EAD" w:rsidRPr="00FB65BA" w:rsidRDefault="00680EAD" w:rsidP="004052DF">
            <w:r w:rsidRPr="00FB65BA">
              <w:rPr>
                <w:sz w:val="18"/>
                <w:szCs w:val="18"/>
              </w:rPr>
              <w:t>Пункт распространяется на счета и операции в белорусских рублях и иностранной валюте. Взимается дополнительно к вознаграждению по пунктам 1.1.4.1, 1.1.4.2 Сборника.</w:t>
            </w:r>
          </w:p>
        </w:tc>
      </w:tr>
      <w:tr w:rsidR="00680EAD" w:rsidRPr="00FB65BA" w14:paraId="0F0B00B4" w14:textId="77777777" w:rsidTr="004052DF">
        <w:trPr>
          <w:trHeight w:val="12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DA9A" w14:textId="77777777" w:rsidR="00680EAD" w:rsidRPr="00FB65BA" w:rsidRDefault="00680EAD" w:rsidP="004052DF">
            <w:r w:rsidRPr="00FB65BA">
              <w:t>1.1.6.1.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9281A" w14:textId="77777777" w:rsidR="00680EAD" w:rsidRPr="00FB65BA" w:rsidRDefault="00680EAD" w:rsidP="004052DF">
            <w:r w:rsidRPr="00FB65BA">
              <w:t>Выдача выписки из лицевого счета клиента по закрытому счету, по действующему счету за период свыше одного года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4555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  <w:sz w:val="18"/>
                <w:szCs w:val="18"/>
              </w:rPr>
              <w:t>10.00 BYN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08E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909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9E82C1" w14:textId="77777777" w:rsidR="00680EAD" w:rsidRPr="00FB65BA" w:rsidRDefault="00680EAD" w:rsidP="004052DF">
            <w:pPr>
              <w:jc w:val="both"/>
            </w:pPr>
            <w:r w:rsidRPr="00FB65BA">
              <w:t>Пункт распространяется на счета в белорусских рублях и иностранной валюте. Вознаграждение не применяется к действующим вкладным счетам, счетам с использованием банковских платежных карточек. Вознаграждение взимается отдельно за каждый счет. Операция проводится в случае наличие информации в Банке согласно запросу клиента.</w:t>
            </w:r>
          </w:p>
        </w:tc>
      </w:tr>
      <w:tr w:rsidR="00680EAD" w:rsidRPr="00FB65BA" w14:paraId="3F882BA5" w14:textId="77777777" w:rsidTr="004052DF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C405" w14:textId="77777777" w:rsidR="00680EAD" w:rsidRPr="00FB65BA" w:rsidRDefault="00680EAD" w:rsidP="004052DF">
            <w:r w:rsidRPr="00FB65BA">
              <w:t>1.1.7.1.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ACA5C" w14:textId="77777777" w:rsidR="00680EAD" w:rsidRPr="00FB65BA" w:rsidRDefault="00680EAD" w:rsidP="004052DF">
            <w:r w:rsidRPr="00FB65BA">
              <w:t>Выдача копии документа, в том числе договора, по требованию физического лица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FD65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  <w:sz w:val="18"/>
                <w:szCs w:val="18"/>
              </w:rPr>
              <w:t>15.00 BYN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A97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B6F6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6FC89E" w14:textId="77777777" w:rsidR="00680EAD" w:rsidRPr="00FB65BA" w:rsidRDefault="00680EAD" w:rsidP="004052DF">
            <w:pPr>
              <w:jc w:val="both"/>
            </w:pPr>
            <w:r w:rsidRPr="00FB65BA">
              <w:t>Пункт распространяется:</w:t>
            </w:r>
          </w:p>
          <w:p w14:paraId="777039A6" w14:textId="77777777" w:rsidR="00680EAD" w:rsidRPr="00FB65BA" w:rsidRDefault="00680EAD" w:rsidP="004052DF">
            <w:pPr>
              <w:jc w:val="both"/>
              <w:rPr>
                <w:strike/>
              </w:rPr>
            </w:pPr>
            <w:r w:rsidRPr="00FB65BA">
              <w:t>- на счета и операции в белорусских рублях и иностранной валюте;</w:t>
            </w:r>
          </w:p>
          <w:p w14:paraId="276096DC" w14:textId="77777777" w:rsidR="00680EAD" w:rsidRPr="00FB65BA" w:rsidRDefault="00680EAD" w:rsidP="004052DF">
            <w:pPr>
              <w:jc w:val="both"/>
            </w:pPr>
            <w:r w:rsidRPr="00FB65BA">
              <w:t>- при кредитовании в рамках кредитного продукта «Форсаж от Сбербанка».</w:t>
            </w:r>
          </w:p>
        </w:tc>
      </w:tr>
      <w:tr w:rsidR="00680EAD" w:rsidRPr="00FB65BA" w14:paraId="69B85077" w14:textId="77777777" w:rsidTr="004052DF">
        <w:trPr>
          <w:trHeight w:val="15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3BD8" w14:textId="77777777" w:rsidR="00680EAD" w:rsidRPr="00FB65BA" w:rsidRDefault="00680EAD" w:rsidP="004052DF">
            <w:r w:rsidRPr="00FB65BA">
              <w:t>1.1.8.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C4AF" w14:textId="77777777" w:rsidR="00680EAD" w:rsidRPr="00FB65BA" w:rsidRDefault="00680EAD" w:rsidP="004052DF">
            <w:r w:rsidRPr="00FB65BA">
              <w:t>Оформление по инициативе кредитополучателя или заемщика  дополнительного соглашения: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20AD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620A" w14:textId="77777777" w:rsidR="00680EAD" w:rsidRPr="00FB65BA" w:rsidRDefault="00680EAD" w:rsidP="004052DF">
            <w:pPr>
              <w:jc w:val="center"/>
            </w:pPr>
            <w:r w:rsidRPr="00FB65BA"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07A1" w14:textId="77777777" w:rsidR="00680EAD" w:rsidRPr="00FB65BA" w:rsidRDefault="00680EAD" w:rsidP="004052DF">
            <w:pPr>
              <w:jc w:val="center"/>
            </w:pPr>
            <w:r w:rsidRPr="00FB65BA">
              <w:t> 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77D7" w14:textId="77777777" w:rsidR="00680EAD" w:rsidRPr="00FB65BA" w:rsidRDefault="00680EAD" w:rsidP="004052DF">
            <w:pPr>
              <w:jc w:val="both"/>
            </w:pPr>
            <w:r w:rsidRPr="00FB65BA">
              <w:t xml:space="preserve">Пункт распространяется на счета в белорусских рублях и иностранной валюте. Вознаграждение применяется при оформлении дополнительного соглашения к договору, а также при уменьшении лимита овердрафта (в том числе по графику) к договору на предоставление </w:t>
            </w:r>
            <w:proofErr w:type="spellStart"/>
            <w:r w:rsidRPr="00FB65BA">
              <w:t>овердрафтного</w:t>
            </w:r>
            <w:proofErr w:type="spellEnd"/>
            <w:r w:rsidRPr="00FB65BA">
              <w:t xml:space="preserve"> кредита, договору счета с использованием банковской платежной карточки.</w:t>
            </w:r>
          </w:p>
        </w:tc>
      </w:tr>
      <w:tr w:rsidR="00680EAD" w:rsidRPr="00FB65BA" w14:paraId="68ADEAA4" w14:textId="77777777" w:rsidTr="004052DF">
        <w:trPr>
          <w:trHeight w:val="12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CB82" w14:textId="77777777" w:rsidR="00680EAD" w:rsidRPr="00FB65BA" w:rsidRDefault="00680EAD" w:rsidP="004052DF">
            <w:r w:rsidRPr="00FB65BA">
              <w:t>1.1.8.1.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311BE" w14:textId="77777777" w:rsidR="00680EAD" w:rsidRPr="00FB65BA" w:rsidRDefault="00680EAD" w:rsidP="004052DF">
            <w:r w:rsidRPr="00FB65BA">
              <w:t>к договору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85DB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  <w:sz w:val="18"/>
                <w:szCs w:val="18"/>
              </w:rPr>
              <w:t>50.00 BYN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089D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31A6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E07324" w14:textId="77777777" w:rsidR="00680EAD" w:rsidRPr="00FB65BA" w:rsidRDefault="00680EAD" w:rsidP="004052DF">
            <w:r w:rsidRPr="00FB65BA">
              <w:t xml:space="preserve">Пункт не распространяется на оформление дополнительного соглашения: </w:t>
            </w:r>
            <w:r w:rsidRPr="00FB65BA">
              <w:br/>
              <w:t>- к договору со способом погашения кредита равными долями;</w:t>
            </w:r>
            <w:r w:rsidRPr="00FB65BA">
              <w:br/>
              <w:t>- при кредитовании в рамках Указа №240;</w:t>
            </w:r>
            <w:r w:rsidRPr="00FB65BA">
              <w:br/>
              <w:t>- при кредитовании в рамках партнерской программы с СЗАО «БЕЛДЖИ»;</w:t>
            </w:r>
            <w:r w:rsidRPr="00FB65BA">
              <w:br/>
              <w:t>- при проведении реструктуризации (кредитных каникул).</w:t>
            </w:r>
          </w:p>
        </w:tc>
      </w:tr>
      <w:tr w:rsidR="00680EAD" w:rsidRPr="00FB65BA" w14:paraId="08E1260C" w14:textId="77777777" w:rsidTr="004052DF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891D" w14:textId="77777777" w:rsidR="00680EAD" w:rsidRPr="00FB65BA" w:rsidRDefault="00680EAD" w:rsidP="004052DF">
            <w:r w:rsidRPr="00FB65BA">
              <w:t>1.1.8.2.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C212F" w14:textId="77777777" w:rsidR="00680EAD" w:rsidRPr="00FB65BA" w:rsidRDefault="00680EAD" w:rsidP="004052DF">
            <w:r w:rsidRPr="00FB65BA">
              <w:t>к договору со способом погашения кредита равными долями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776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60.00 BYN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561B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4B82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2A42D" w14:textId="77777777" w:rsidR="00680EAD" w:rsidRPr="00FB65BA" w:rsidRDefault="00680EAD" w:rsidP="004052DF">
            <w:r w:rsidRPr="00FB65BA">
              <w:t>Пункт не распространяется на оформление дополнительного соглашения:</w:t>
            </w:r>
            <w:r w:rsidRPr="00FB65BA">
              <w:br/>
              <w:t>- при проведении реструктуризации (кредитных каникул).</w:t>
            </w:r>
          </w:p>
        </w:tc>
      </w:tr>
    </w:tbl>
    <w:p w14:paraId="407D49B7" w14:textId="77777777" w:rsidR="00680EAD" w:rsidRPr="00FB65BA" w:rsidRDefault="00680EAD" w:rsidP="00680EAD">
      <w:pPr>
        <w:pStyle w:val="a3"/>
        <w:tabs>
          <w:tab w:val="left" w:pos="1134"/>
        </w:tabs>
        <w:ind w:left="709"/>
        <w:jc w:val="right"/>
        <w:rPr>
          <w:sz w:val="28"/>
          <w:szCs w:val="28"/>
        </w:rPr>
      </w:pPr>
      <w:r w:rsidRPr="00FB65BA">
        <w:rPr>
          <w:sz w:val="28"/>
          <w:szCs w:val="28"/>
        </w:rPr>
        <w:t>»;</w:t>
      </w:r>
    </w:p>
    <w:p w14:paraId="2181C387" w14:textId="609C50B0" w:rsidR="00680EAD" w:rsidRPr="00680EAD" w:rsidRDefault="00680EAD" w:rsidP="00680EAD">
      <w:pPr>
        <w:tabs>
          <w:tab w:val="left" w:pos="1134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80EAD">
        <w:rPr>
          <w:sz w:val="28"/>
          <w:szCs w:val="28"/>
        </w:rPr>
        <w:t xml:space="preserve"> пункты 1.1.11-1.1.12.1 раздела 1.1 Сборника изложены в следующей редакции:</w:t>
      </w:r>
    </w:p>
    <w:p w14:paraId="0A36E7EA" w14:textId="77777777" w:rsidR="00680EAD" w:rsidRPr="00FB65BA" w:rsidRDefault="00680EAD" w:rsidP="00680EAD">
      <w:pPr>
        <w:tabs>
          <w:tab w:val="left" w:pos="709"/>
        </w:tabs>
        <w:jc w:val="both"/>
        <w:rPr>
          <w:sz w:val="28"/>
          <w:szCs w:val="28"/>
        </w:rPr>
      </w:pPr>
      <w:r w:rsidRPr="00FB65BA">
        <w:rPr>
          <w:sz w:val="28"/>
          <w:szCs w:val="28"/>
        </w:rPr>
        <w:t xml:space="preserve"> </w:t>
      </w:r>
      <w:r w:rsidRPr="00FB65BA">
        <w:rPr>
          <w:sz w:val="28"/>
          <w:szCs w:val="28"/>
        </w:rPr>
        <w:tab/>
        <w:t>«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177"/>
        <w:gridCol w:w="1591"/>
        <w:gridCol w:w="1028"/>
        <w:gridCol w:w="1028"/>
        <w:gridCol w:w="6856"/>
      </w:tblGrid>
      <w:tr w:rsidR="00680EAD" w:rsidRPr="00FB65BA" w14:paraId="3F49C839" w14:textId="77777777" w:rsidTr="004052DF">
        <w:trPr>
          <w:trHeight w:val="1611"/>
        </w:trPr>
        <w:tc>
          <w:tcPr>
            <w:tcW w:w="916" w:type="dxa"/>
            <w:shd w:val="clear" w:color="auto" w:fill="auto"/>
            <w:noWrap/>
            <w:hideMark/>
          </w:tcPr>
          <w:p w14:paraId="776BB5A0" w14:textId="77777777" w:rsidR="00680EAD" w:rsidRPr="00FB65BA" w:rsidRDefault="00680EAD" w:rsidP="004052DF">
            <w:r w:rsidRPr="00FB65BA">
              <w:t>1.1.11.</w:t>
            </w:r>
          </w:p>
        </w:tc>
        <w:tc>
          <w:tcPr>
            <w:tcW w:w="3177" w:type="dxa"/>
            <w:shd w:val="clear" w:color="auto" w:fill="auto"/>
            <w:hideMark/>
          </w:tcPr>
          <w:p w14:paraId="7A23AF1C" w14:textId="77777777" w:rsidR="00680EAD" w:rsidRPr="00FB65BA" w:rsidRDefault="00680EAD" w:rsidP="004052DF">
            <w:r w:rsidRPr="00FB65BA">
              <w:t>Оформление договора залога, в том числе договора залога имущественных прав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601CC44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60.00 BYN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E0639B9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5FE1530F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shd w:val="clear" w:color="auto" w:fill="auto"/>
            <w:hideMark/>
          </w:tcPr>
          <w:p w14:paraId="623C5305" w14:textId="77777777" w:rsidR="00680EAD" w:rsidRPr="00FB65BA" w:rsidRDefault="00680EAD" w:rsidP="004052DF">
            <w:r w:rsidRPr="00FB65BA">
              <w:t xml:space="preserve">При кредитовании физических лиц на приобретение автотранспортных средств взимание комиссионного вознаграждения за оформление договора залога имущественных </w:t>
            </w:r>
            <w:proofErr w:type="gramStart"/>
            <w:r w:rsidRPr="00FB65BA">
              <w:t>прав</w:t>
            </w:r>
            <w:proofErr w:type="gramEnd"/>
            <w:r w:rsidRPr="00FB65BA">
              <w:t xml:space="preserve"> возможно при оформлении договора залога.</w:t>
            </w:r>
            <w:r w:rsidRPr="00FB65BA">
              <w:br/>
              <w:t>Пункт не распространяется:</w:t>
            </w:r>
            <w:r w:rsidRPr="00FB65BA">
              <w:br/>
              <w:t>- при кредитовании в рамках Указа №240;</w:t>
            </w:r>
            <w:r w:rsidRPr="00FB65BA">
              <w:br/>
              <w:t>- при кредитовании в рамках партнерской программы с СЗАО «БЕЛДЖИ»</w:t>
            </w:r>
            <w:r w:rsidRPr="00FB65BA">
              <w:br/>
              <w:t>- за оформление договора залога ценных бумаг.</w:t>
            </w:r>
          </w:p>
        </w:tc>
      </w:tr>
      <w:tr w:rsidR="00680EAD" w:rsidRPr="00FB65BA" w14:paraId="45D9FA93" w14:textId="77777777" w:rsidTr="004052DF">
        <w:trPr>
          <w:trHeight w:val="983"/>
        </w:trPr>
        <w:tc>
          <w:tcPr>
            <w:tcW w:w="916" w:type="dxa"/>
            <w:shd w:val="clear" w:color="auto" w:fill="auto"/>
            <w:noWrap/>
            <w:hideMark/>
          </w:tcPr>
          <w:p w14:paraId="0C9311A5" w14:textId="77777777" w:rsidR="00680EAD" w:rsidRPr="00FB65BA" w:rsidRDefault="00680EAD" w:rsidP="004052DF">
            <w:r w:rsidRPr="00FB65BA">
              <w:lastRenderedPageBreak/>
              <w:t>1.1.11.1</w:t>
            </w:r>
          </w:p>
        </w:tc>
        <w:tc>
          <w:tcPr>
            <w:tcW w:w="3177" w:type="dxa"/>
            <w:shd w:val="clear" w:color="auto" w:fill="auto"/>
            <w:hideMark/>
          </w:tcPr>
          <w:p w14:paraId="01189FBE" w14:textId="77777777" w:rsidR="00680EAD" w:rsidRPr="00FB65BA" w:rsidRDefault="00680EAD" w:rsidP="004052DF">
            <w:r w:rsidRPr="00FB65BA">
              <w:t xml:space="preserve">Оформление договора залога (ипотеки) </w:t>
            </w:r>
            <w:proofErr w:type="gramStart"/>
            <w:r w:rsidRPr="00FB65BA">
              <w:t>и(</w:t>
            </w:r>
            <w:proofErr w:type="gramEnd"/>
            <w:r w:rsidRPr="00FB65BA">
              <w:t>или) дополнительного соглашения к нему с выездом сотрудника Банка за пределы Банка для их удостоверения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28B4E35D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100.00 BYN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3E832820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48A72196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56" w:type="dxa"/>
            <w:shd w:val="clear" w:color="auto" w:fill="auto"/>
            <w:hideMark/>
          </w:tcPr>
          <w:p w14:paraId="4EC06470" w14:textId="77777777" w:rsidR="00680EAD" w:rsidRPr="00FB65BA" w:rsidRDefault="00680EAD" w:rsidP="004052DF">
            <w:r w:rsidRPr="00FB65BA">
              <w:t>Вознаграждение взимается за каждый оформленный договор и/или дополнительное соглашения к нему.</w:t>
            </w:r>
          </w:p>
        </w:tc>
      </w:tr>
      <w:tr w:rsidR="00680EAD" w:rsidRPr="00FB65BA" w14:paraId="1651E97A" w14:textId="77777777" w:rsidTr="004052DF">
        <w:trPr>
          <w:trHeight w:val="841"/>
        </w:trPr>
        <w:tc>
          <w:tcPr>
            <w:tcW w:w="916" w:type="dxa"/>
            <w:shd w:val="clear" w:color="auto" w:fill="auto"/>
            <w:noWrap/>
            <w:hideMark/>
          </w:tcPr>
          <w:p w14:paraId="566EA3BB" w14:textId="77777777" w:rsidR="00680EAD" w:rsidRPr="00FB65BA" w:rsidRDefault="00680EAD" w:rsidP="004052DF">
            <w:r w:rsidRPr="00FB65BA">
              <w:t>1.1.12.1.</w:t>
            </w:r>
          </w:p>
        </w:tc>
        <w:tc>
          <w:tcPr>
            <w:tcW w:w="3177" w:type="dxa"/>
            <w:shd w:val="clear" w:color="auto" w:fill="auto"/>
            <w:hideMark/>
          </w:tcPr>
          <w:p w14:paraId="6D8C1DF7" w14:textId="77777777" w:rsidR="00680EAD" w:rsidRPr="00FB65BA" w:rsidRDefault="00680EAD" w:rsidP="004052DF">
            <w:r w:rsidRPr="00FB65BA">
              <w:t>Оформление договора поручительства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3666F30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40.00 BYN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BC451FC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358A30AD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-</w:t>
            </w:r>
          </w:p>
        </w:tc>
        <w:tc>
          <w:tcPr>
            <w:tcW w:w="6856" w:type="dxa"/>
            <w:shd w:val="clear" w:color="auto" w:fill="auto"/>
            <w:hideMark/>
          </w:tcPr>
          <w:p w14:paraId="117A27B4" w14:textId="77777777" w:rsidR="00680EAD" w:rsidRPr="00FB65BA" w:rsidRDefault="00680EAD" w:rsidP="004052DF">
            <w:r w:rsidRPr="00FB65BA">
              <w:t>Пункт не распространяется:</w:t>
            </w:r>
            <w:r w:rsidRPr="00FB65BA">
              <w:br/>
              <w:t>- при кредитовании в рамках Указа №240;</w:t>
            </w:r>
            <w:r w:rsidRPr="00FB65BA">
              <w:br/>
              <w:t>- при кредитовании в рамках партнерской программы с СЗАО «БЕЛДЖИ».</w:t>
            </w:r>
          </w:p>
        </w:tc>
      </w:tr>
    </w:tbl>
    <w:p w14:paraId="5F76B2ED" w14:textId="77777777" w:rsidR="00680EAD" w:rsidRPr="00FB65BA" w:rsidRDefault="00680EAD" w:rsidP="00680EAD">
      <w:pPr>
        <w:tabs>
          <w:tab w:val="left" w:pos="709"/>
        </w:tabs>
        <w:jc w:val="right"/>
        <w:rPr>
          <w:sz w:val="28"/>
          <w:szCs w:val="28"/>
        </w:rPr>
      </w:pPr>
      <w:r w:rsidRPr="00FB65BA">
        <w:rPr>
          <w:sz w:val="28"/>
          <w:szCs w:val="28"/>
        </w:rPr>
        <w:t>»;</w:t>
      </w:r>
    </w:p>
    <w:p w14:paraId="67BB247B" w14:textId="54F9AAD3" w:rsidR="00680EAD" w:rsidRPr="00680EAD" w:rsidRDefault="00680EAD" w:rsidP="00680EAD">
      <w:pPr>
        <w:tabs>
          <w:tab w:val="left" w:pos="1134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0EAD">
        <w:rPr>
          <w:sz w:val="28"/>
          <w:szCs w:val="28"/>
        </w:rPr>
        <w:t xml:space="preserve"> пункты 1.3.1-1.3.2 раздела 1.3 Сборника изложены в следующей редакции:</w:t>
      </w:r>
    </w:p>
    <w:p w14:paraId="11738297" w14:textId="77777777" w:rsidR="00680EAD" w:rsidRPr="00FB65BA" w:rsidRDefault="00680EAD" w:rsidP="00680EA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FB65BA">
        <w:rPr>
          <w:sz w:val="28"/>
          <w:szCs w:val="28"/>
        </w:rPr>
        <w:t>«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55"/>
        <w:gridCol w:w="1591"/>
        <w:gridCol w:w="1039"/>
        <w:gridCol w:w="1039"/>
        <w:gridCol w:w="6856"/>
      </w:tblGrid>
      <w:tr w:rsidR="00680EAD" w:rsidRPr="00FB65BA" w14:paraId="0E0F4356" w14:textId="77777777" w:rsidTr="004052DF">
        <w:trPr>
          <w:trHeight w:val="1995"/>
        </w:trPr>
        <w:tc>
          <w:tcPr>
            <w:tcW w:w="816" w:type="dxa"/>
            <w:shd w:val="clear" w:color="auto" w:fill="auto"/>
            <w:noWrap/>
            <w:hideMark/>
          </w:tcPr>
          <w:p w14:paraId="176590A8" w14:textId="77777777" w:rsidR="00680EAD" w:rsidRPr="00FB65BA" w:rsidRDefault="00680EAD" w:rsidP="004052DF">
            <w:r w:rsidRPr="00FB65BA">
              <w:t>1.3.1.</w:t>
            </w:r>
          </w:p>
        </w:tc>
        <w:tc>
          <w:tcPr>
            <w:tcW w:w="3255" w:type="dxa"/>
            <w:shd w:val="clear" w:color="auto" w:fill="auto"/>
            <w:hideMark/>
          </w:tcPr>
          <w:p w14:paraId="2E6B408B" w14:textId="77777777" w:rsidR="00680EAD" w:rsidRPr="00FB65BA" w:rsidRDefault="00680EAD" w:rsidP="004052DF">
            <w:r w:rsidRPr="00FB65BA">
              <w:t>Зачисление на счет денежных средств, поступивших от юридических лиц, индивидуальных предпринимателей – плательщиков при отсутствии договора между Банком и плательщиком; поступивших от иного физического лица со счета в Банке; поступивших от физического лица из другого банка: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397E139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4A8218C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11BC988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 </w:t>
            </w:r>
          </w:p>
        </w:tc>
        <w:tc>
          <w:tcPr>
            <w:tcW w:w="6856" w:type="dxa"/>
            <w:vMerge w:val="restart"/>
            <w:shd w:val="clear" w:color="auto" w:fill="auto"/>
            <w:hideMark/>
          </w:tcPr>
          <w:p w14:paraId="320F3FCC" w14:textId="77777777" w:rsidR="00680EAD" w:rsidRPr="00FB65BA" w:rsidRDefault="00680EAD" w:rsidP="004052DF">
            <w:r w:rsidRPr="00FB65BA">
              <w:t xml:space="preserve">Вознаграждение взимается с получателя </w:t>
            </w:r>
            <w:proofErr w:type="gramStart"/>
            <w:r w:rsidRPr="00FB65BA">
              <w:t>средств</w:t>
            </w:r>
            <w:proofErr w:type="gramEnd"/>
            <w:r w:rsidRPr="00FB65BA">
              <w:t xml:space="preserve"> в том числе за операции зачисления заработной платы, приравненных к ней выплат, пенсий, пособий, других перечислений получателям, вытекающих из трудовых, гражданско-правовых отношений.</w:t>
            </w:r>
            <w:r w:rsidRPr="00FB65BA">
              <w:br/>
              <w:t>Взимание вознаграждения производится в эквиваленте иностранной валюты по официальному курсу Национального банка Республики Беларусь.</w:t>
            </w:r>
          </w:p>
        </w:tc>
      </w:tr>
      <w:tr w:rsidR="00680EAD" w:rsidRPr="00FB65BA" w14:paraId="39D2A000" w14:textId="77777777" w:rsidTr="004052DF">
        <w:trPr>
          <w:trHeight w:val="1005"/>
        </w:trPr>
        <w:tc>
          <w:tcPr>
            <w:tcW w:w="816" w:type="dxa"/>
            <w:shd w:val="clear" w:color="auto" w:fill="auto"/>
            <w:noWrap/>
            <w:hideMark/>
          </w:tcPr>
          <w:p w14:paraId="7A9705FE" w14:textId="77777777" w:rsidR="00680EAD" w:rsidRPr="00FB65BA" w:rsidRDefault="00680EAD" w:rsidP="004052DF">
            <w:r w:rsidRPr="00FB65BA">
              <w:t>1.3.1.1.</w:t>
            </w:r>
          </w:p>
        </w:tc>
        <w:tc>
          <w:tcPr>
            <w:tcW w:w="3255" w:type="dxa"/>
            <w:shd w:val="clear" w:color="auto" w:fill="auto"/>
            <w:hideMark/>
          </w:tcPr>
          <w:p w14:paraId="0ECDD39E" w14:textId="77777777" w:rsidR="00680EAD" w:rsidRPr="00FB65BA" w:rsidRDefault="00680EAD" w:rsidP="004052DF">
            <w:r w:rsidRPr="00FB65BA">
              <w:t>до 100 BYN включительно в эквиваленте иностранной валюты по официальному курсу Национального банка Республики Беларусь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93C0F12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10% от суммы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601AE1A1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024ED142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-</w:t>
            </w:r>
          </w:p>
        </w:tc>
        <w:tc>
          <w:tcPr>
            <w:tcW w:w="6856" w:type="dxa"/>
            <w:vMerge/>
            <w:vAlign w:val="center"/>
            <w:hideMark/>
          </w:tcPr>
          <w:p w14:paraId="24BE7671" w14:textId="77777777" w:rsidR="00680EAD" w:rsidRPr="00FB65BA" w:rsidRDefault="00680EAD" w:rsidP="004052DF"/>
        </w:tc>
      </w:tr>
      <w:tr w:rsidR="00680EAD" w:rsidRPr="00FB65BA" w14:paraId="2FF8849A" w14:textId="77777777" w:rsidTr="004052DF">
        <w:trPr>
          <w:trHeight w:val="1065"/>
        </w:trPr>
        <w:tc>
          <w:tcPr>
            <w:tcW w:w="816" w:type="dxa"/>
            <w:shd w:val="clear" w:color="auto" w:fill="auto"/>
            <w:noWrap/>
            <w:hideMark/>
          </w:tcPr>
          <w:p w14:paraId="6050ED66" w14:textId="77777777" w:rsidR="00680EAD" w:rsidRPr="00FB65BA" w:rsidRDefault="00680EAD" w:rsidP="004052DF">
            <w:r w:rsidRPr="00FB65BA">
              <w:t>1.3.1.2.</w:t>
            </w:r>
          </w:p>
        </w:tc>
        <w:tc>
          <w:tcPr>
            <w:tcW w:w="3255" w:type="dxa"/>
            <w:shd w:val="clear" w:color="auto" w:fill="auto"/>
            <w:hideMark/>
          </w:tcPr>
          <w:p w14:paraId="1BB0543F" w14:textId="77777777" w:rsidR="00680EAD" w:rsidRPr="00FB65BA" w:rsidRDefault="00680EAD" w:rsidP="004052DF">
            <w:r w:rsidRPr="00FB65BA">
              <w:t>свыше 100 BYN в эквиваленте иностранной валюты по официальному курсу Национального банка Республики Беларусь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69CC7D5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2,5% от суммы</w:t>
            </w:r>
            <w:r w:rsidRPr="00FB65BA">
              <w:rPr>
                <w:bCs/>
                <w:strike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7AB1324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15 BYN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90A20F8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1100 BYN</w:t>
            </w:r>
          </w:p>
        </w:tc>
        <w:tc>
          <w:tcPr>
            <w:tcW w:w="6856" w:type="dxa"/>
            <w:vMerge/>
            <w:vAlign w:val="center"/>
            <w:hideMark/>
          </w:tcPr>
          <w:p w14:paraId="749FC293" w14:textId="77777777" w:rsidR="00680EAD" w:rsidRPr="00FB65BA" w:rsidRDefault="00680EAD" w:rsidP="004052DF"/>
        </w:tc>
      </w:tr>
      <w:tr w:rsidR="00680EAD" w:rsidRPr="00FB65BA" w14:paraId="4E2DD22E" w14:textId="77777777" w:rsidTr="004052DF">
        <w:trPr>
          <w:trHeight w:val="855"/>
        </w:trPr>
        <w:tc>
          <w:tcPr>
            <w:tcW w:w="816" w:type="dxa"/>
            <w:shd w:val="clear" w:color="auto" w:fill="auto"/>
            <w:noWrap/>
            <w:hideMark/>
          </w:tcPr>
          <w:p w14:paraId="6C03E3E1" w14:textId="77777777" w:rsidR="00680EAD" w:rsidRPr="00FB65BA" w:rsidRDefault="00680EAD" w:rsidP="004052DF">
            <w:r w:rsidRPr="00FB65BA">
              <w:t>1.3.2.</w:t>
            </w:r>
          </w:p>
        </w:tc>
        <w:tc>
          <w:tcPr>
            <w:tcW w:w="3255" w:type="dxa"/>
            <w:shd w:val="clear" w:color="auto" w:fill="auto"/>
            <w:hideMark/>
          </w:tcPr>
          <w:p w14:paraId="6C4A2A11" w14:textId="77777777" w:rsidR="00680EAD" w:rsidRPr="00FB65BA" w:rsidRDefault="00680EAD" w:rsidP="004052DF">
            <w:r w:rsidRPr="00FB65BA">
              <w:t>Зачисление денежных средств, поступивших со счетов, открытых в банках группы ПАО Сбербанк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43CCDC7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5BAF3205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6B1EC4DA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 </w:t>
            </w:r>
          </w:p>
        </w:tc>
        <w:tc>
          <w:tcPr>
            <w:tcW w:w="6856" w:type="dxa"/>
            <w:vMerge w:val="restart"/>
            <w:shd w:val="clear" w:color="auto" w:fill="auto"/>
            <w:hideMark/>
          </w:tcPr>
          <w:p w14:paraId="1672D3A3" w14:textId="77777777" w:rsidR="00680EAD" w:rsidRPr="00FB65BA" w:rsidRDefault="00680EAD" w:rsidP="004052DF">
            <w:r w:rsidRPr="00FB65BA">
              <w:t>Взимание вознаграждения производится в эквиваленте иностранной валюты по официальному курсу Национального банка Республики Беларусь.</w:t>
            </w:r>
            <w:r w:rsidRPr="00FB65BA">
              <w:br/>
              <w:t xml:space="preserve">Вознаграждение взимается с получателя средств. При расчете эквивалента валюты, отличной от долларов США, используется кросс-курс иностранной валюты к доллару США, рассчитанный на основании официального курса Национального банка Республики Беларусь на дату зачисления. К группе ПАО Сбербанк относятся: </w:t>
            </w:r>
            <w:proofErr w:type="gramStart"/>
            <w:r w:rsidRPr="00FB65BA">
              <w:t>ПАО Сбербанк (Российская Федерация), ДБ АО «Сбербанк» (Казахстан), ПАО «СБЕРБАНК» (Украина).</w:t>
            </w:r>
            <w:proofErr w:type="gramEnd"/>
          </w:p>
        </w:tc>
      </w:tr>
      <w:tr w:rsidR="00680EAD" w:rsidRPr="00FB65BA" w14:paraId="2263BF29" w14:textId="77777777" w:rsidTr="004052DF">
        <w:trPr>
          <w:trHeight w:val="960"/>
        </w:trPr>
        <w:tc>
          <w:tcPr>
            <w:tcW w:w="816" w:type="dxa"/>
            <w:shd w:val="clear" w:color="auto" w:fill="auto"/>
            <w:noWrap/>
            <w:hideMark/>
          </w:tcPr>
          <w:p w14:paraId="4EE510DE" w14:textId="77777777" w:rsidR="00680EAD" w:rsidRPr="00FB65BA" w:rsidRDefault="00680EAD" w:rsidP="004052DF">
            <w:r w:rsidRPr="00FB65BA">
              <w:t>1.3.2.1.</w:t>
            </w:r>
          </w:p>
        </w:tc>
        <w:tc>
          <w:tcPr>
            <w:tcW w:w="3255" w:type="dxa"/>
            <w:shd w:val="clear" w:color="auto" w:fill="auto"/>
            <w:hideMark/>
          </w:tcPr>
          <w:p w14:paraId="44C4EC8A" w14:textId="77777777" w:rsidR="00680EAD" w:rsidRPr="00FB65BA" w:rsidRDefault="00680EAD" w:rsidP="004052DF">
            <w:r w:rsidRPr="00FB65BA">
              <w:t>до 100 BYN включительно в эквиваленте иностранной валюты по официальному курсу Национального банка Республики Беларусь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1B34672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10% от суммы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65A254DC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-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1F9E66C6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-</w:t>
            </w:r>
          </w:p>
        </w:tc>
        <w:tc>
          <w:tcPr>
            <w:tcW w:w="6856" w:type="dxa"/>
            <w:vMerge/>
            <w:vAlign w:val="center"/>
            <w:hideMark/>
          </w:tcPr>
          <w:p w14:paraId="1AD96E28" w14:textId="77777777" w:rsidR="00680EAD" w:rsidRPr="00FB65BA" w:rsidRDefault="00680EAD" w:rsidP="004052DF"/>
        </w:tc>
      </w:tr>
      <w:tr w:rsidR="00680EAD" w:rsidRPr="00FB65BA" w14:paraId="59E42CC1" w14:textId="77777777" w:rsidTr="004052DF">
        <w:trPr>
          <w:trHeight w:val="1155"/>
        </w:trPr>
        <w:tc>
          <w:tcPr>
            <w:tcW w:w="816" w:type="dxa"/>
            <w:shd w:val="clear" w:color="auto" w:fill="auto"/>
            <w:noWrap/>
            <w:hideMark/>
          </w:tcPr>
          <w:p w14:paraId="67A95E6F" w14:textId="77777777" w:rsidR="00680EAD" w:rsidRPr="00FB65BA" w:rsidRDefault="00680EAD" w:rsidP="004052DF">
            <w:r w:rsidRPr="00FB65BA">
              <w:lastRenderedPageBreak/>
              <w:t>1.3.2.2.</w:t>
            </w:r>
          </w:p>
        </w:tc>
        <w:tc>
          <w:tcPr>
            <w:tcW w:w="3255" w:type="dxa"/>
            <w:shd w:val="clear" w:color="auto" w:fill="auto"/>
            <w:hideMark/>
          </w:tcPr>
          <w:p w14:paraId="6798C0A8" w14:textId="77777777" w:rsidR="00680EAD" w:rsidRPr="00FB65BA" w:rsidRDefault="00680EAD" w:rsidP="004052DF">
            <w:r w:rsidRPr="00FB65BA">
              <w:t>свыше 100 BYN в эквиваленте иностранной валюты по официальному курсу Национального банка Республики Беларусь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6A23E24B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1% от суммы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7DAD3B59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10 BYN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14:paraId="79CAB8F1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900 BYN</w:t>
            </w:r>
          </w:p>
        </w:tc>
        <w:tc>
          <w:tcPr>
            <w:tcW w:w="6856" w:type="dxa"/>
            <w:vMerge/>
            <w:vAlign w:val="center"/>
            <w:hideMark/>
          </w:tcPr>
          <w:p w14:paraId="7126003E" w14:textId="77777777" w:rsidR="00680EAD" w:rsidRPr="00FB65BA" w:rsidRDefault="00680EAD" w:rsidP="004052DF"/>
        </w:tc>
      </w:tr>
    </w:tbl>
    <w:p w14:paraId="2195C70D" w14:textId="77777777" w:rsidR="00680EAD" w:rsidRPr="00FB65BA" w:rsidRDefault="00680EAD" w:rsidP="00680EAD">
      <w:pPr>
        <w:pStyle w:val="a3"/>
        <w:tabs>
          <w:tab w:val="left" w:pos="1134"/>
        </w:tabs>
        <w:ind w:left="709"/>
        <w:jc w:val="right"/>
        <w:rPr>
          <w:sz w:val="28"/>
          <w:szCs w:val="28"/>
        </w:rPr>
      </w:pPr>
      <w:r w:rsidRPr="00FB65BA">
        <w:rPr>
          <w:sz w:val="28"/>
          <w:szCs w:val="28"/>
        </w:rPr>
        <w:t>»;</w:t>
      </w:r>
    </w:p>
    <w:p w14:paraId="0A01F686" w14:textId="14D53DFB" w:rsidR="00680EAD" w:rsidRPr="00FB65BA" w:rsidRDefault="00680EAD" w:rsidP="00680EAD">
      <w:pPr>
        <w:pStyle w:val="a3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FB65BA">
        <w:rPr>
          <w:sz w:val="28"/>
          <w:szCs w:val="28"/>
        </w:rPr>
        <w:t>пункты 1.3.6-1.3.7 раздела 1.3 Сборника излож</w:t>
      </w:r>
      <w:r>
        <w:rPr>
          <w:sz w:val="28"/>
          <w:szCs w:val="28"/>
        </w:rPr>
        <w:t>ены</w:t>
      </w:r>
      <w:r w:rsidRPr="00FB65BA">
        <w:rPr>
          <w:sz w:val="28"/>
          <w:szCs w:val="28"/>
        </w:rPr>
        <w:t xml:space="preserve"> в следующей редакции:</w:t>
      </w:r>
    </w:p>
    <w:p w14:paraId="085B1A05" w14:textId="77777777" w:rsidR="00680EAD" w:rsidRPr="00FB65BA" w:rsidRDefault="00680EAD" w:rsidP="00680EAD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 w:rsidRPr="00FB65BA">
        <w:rPr>
          <w:sz w:val="28"/>
          <w:szCs w:val="28"/>
        </w:rPr>
        <w:t>«</w:t>
      </w: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145"/>
        <w:gridCol w:w="1591"/>
        <w:gridCol w:w="1097"/>
        <w:gridCol w:w="993"/>
        <w:gridCol w:w="6804"/>
      </w:tblGrid>
      <w:tr w:rsidR="00680EAD" w:rsidRPr="00FB65BA" w14:paraId="148BA30A" w14:textId="77777777" w:rsidTr="004052DF">
        <w:trPr>
          <w:trHeight w:val="975"/>
        </w:trPr>
        <w:tc>
          <w:tcPr>
            <w:tcW w:w="966" w:type="dxa"/>
            <w:shd w:val="clear" w:color="auto" w:fill="auto"/>
            <w:noWrap/>
            <w:hideMark/>
          </w:tcPr>
          <w:p w14:paraId="2A01F328" w14:textId="77777777" w:rsidR="00680EAD" w:rsidRPr="00FB65BA" w:rsidRDefault="00680EAD" w:rsidP="004052DF">
            <w:r w:rsidRPr="00FB65BA">
              <w:t>1.3.6.</w:t>
            </w:r>
          </w:p>
        </w:tc>
        <w:tc>
          <w:tcPr>
            <w:tcW w:w="3145" w:type="dxa"/>
            <w:shd w:val="clear" w:color="auto" w:fill="auto"/>
            <w:hideMark/>
          </w:tcPr>
          <w:p w14:paraId="27DA07FF" w14:textId="77777777" w:rsidR="00680EAD" w:rsidRPr="00FB65BA" w:rsidRDefault="00680EAD" w:rsidP="004052DF">
            <w:r w:rsidRPr="00FB65BA">
              <w:t>Перевод средств за товары и услуги, иных платежей на счета юридических лиц (индивидуальных предпринимателей) и других организаций, открытые: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2717988" w14:textId="77777777" w:rsidR="00680EAD" w:rsidRPr="00FB65BA" w:rsidRDefault="00680EAD" w:rsidP="004052DF">
            <w:pPr>
              <w:jc w:val="center"/>
            </w:pPr>
            <w:r w:rsidRPr="00FB65BA"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06504395" w14:textId="77777777" w:rsidR="00680EAD" w:rsidRPr="00FB65BA" w:rsidRDefault="00680EAD" w:rsidP="004052DF">
            <w:pPr>
              <w:jc w:val="center"/>
            </w:pPr>
            <w:r w:rsidRPr="00FB65BA"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03D5144" w14:textId="77777777" w:rsidR="00680EAD" w:rsidRPr="00FB65BA" w:rsidRDefault="00680EAD" w:rsidP="004052DF">
            <w:pPr>
              <w:jc w:val="center"/>
            </w:pPr>
            <w:r w:rsidRPr="00FB65BA">
              <w:t> </w:t>
            </w:r>
          </w:p>
        </w:tc>
        <w:tc>
          <w:tcPr>
            <w:tcW w:w="6804" w:type="dxa"/>
            <w:vMerge w:val="restart"/>
            <w:shd w:val="clear" w:color="auto" w:fill="auto"/>
            <w:hideMark/>
          </w:tcPr>
          <w:p w14:paraId="5B638900" w14:textId="77777777" w:rsidR="00680EAD" w:rsidRPr="00FB65BA" w:rsidRDefault="00680EAD" w:rsidP="004052DF">
            <w:pPr>
              <w:jc w:val="both"/>
            </w:pPr>
            <w:r w:rsidRPr="00FB65BA">
              <w:t>При расчете вознаграждения используется официальный курс Национального банка Республики Беларусь на дату совершения операции.</w:t>
            </w:r>
          </w:p>
        </w:tc>
      </w:tr>
      <w:tr w:rsidR="00680EAD" w:rsidRPr="00FB65BA" w14:paraId="655C217A" w14:textId="77777777" w:rsidTr="004052DF">
        <w:trPr>
          <w:trHeight w:val="405"/>
        </w:trPr>
        <w:tc>
          <w:tcPr>
            <w:tcW w:w="966" w:type="dxa"/>
            <w:shd w:val="clear" w:color="auto" w:fill="auto"/>
            <w:noWrap/>
            <w:hideMark/>
          </w:tcPr>
          <w:p w14:paraId="4BFA6889" w14:textId="77777777" w:rsidR="00680EAD" w:rsidRPr="00FB65BA" w:rsidRDefault="00680EAD" w:rsidP="004052DF">
            <w:r w:rsidRPr="00FB65BA">
              <w:t>1.3.6.1.</w:t>
            </w:r>
          </w:p>
        </w:tc>
        <w:tc>
          <w:tcPr>
            <w:tcW w:w="3145" w:type="dxa"/>
            <w:shd w:val="clear" w:color="auto" w:fill="auto"/>
            <w:hideMark/>
          </w:tcPr>
          <w:p w14:paraId="6089288F" w14:textId="77777777" w:rsidR="00680EAD" w:rsidRPr="00FB65BA" w:rsidRDefault="00680EAD" w:rsidP="004052DF">
            <w:r w:rsidRPr="00FB65BA">
              <w:t>в Банке: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08E5D928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4C899E3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EC488CF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 </w:t>
            </w:r>
          </w:p>
        </w:tc>
        <w:tc>
          <w:tcPr>
            <w:tcW w:w="6804" w:type="dxa"/>
            <w:vMerge/>
            <w:vAlign w:val="center"/>
            <w:hideMark/>
          </w:tcPr>
          <w:p w14:paraId="64C1440A" w14:textId="77777777" w:rsidR="00680EAD" w:rsidRPr="00FB65BA" w:rsidRDefault="00680EAD" w:rsidP="004052DF"/>
        </w:tc>
      </w:tr>
      <w:tr w:rsidR="00680EAD" w:rsidRPr="00FB65BA" w14:paraId="560BCD95" w14:textId="77777777" w:rsidTr="004052DF">
        <w:trPr>
          <w:trHeight w:val="540"/>
        </w:trPr>
        <w:tc>
          <w:tcPr>
            <w:tcW w:w="966" w:type="dxa"/>
            <w:shd w:val="clear" w:color="auto" w:fill="auto"/>
            <w:noWrap/>
            <w:hideMark/>
          </w:tcPr>
          <w:p w14:paraId="1A7D2A1A" w14:textId="77777777" w:rsidR="00680EAD" w:rsidRPr="00FB65BA" w:rsidRDefault="00680EAD" w:rsidP="004052DF">
            <w:r w:rsidRPr="00FB65BA">
              <w:t>1.3.6.1.1.</w:t>
            </w:r>
          </w:p>
        </w:tc>
        <w:tc>
          <w:tcPr>
            <w:tcW w:w="3145" w:type="dxa"/>
            <w:shd w:val="clear" w:color="auto" w:fill="auto"/>
            <w:hideMark/>
          </w:tcPr>
          <w:p w14:paraId="4EC4E6AF" w14:textId="77777777" w:rsidR="00680EAD" w:rsidRPr="00FB65BA" w:rsidRDefault="00680EAD" w:rsidP="004052DF">
            <w:r w:rsidRPr="00FB65BA">
              <w:t>в пользу иностранных консульств и посольств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72D2AD19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0,5% от суммы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7479D02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20 BYN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15F1232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300 BYN</w:t>
            </w:r>
          </w:p>
        </w:tc>
        <w:tc>
          <w:tcPr>
            <w:tcW w:w="6804" w:type="dxa"/>
            <w:vMerge/>
            <w:vAlign w:val="center"/>
            <w:hideMark/>
          </w:tcPr>
          <w:p w14:paraId="2749D20C" w14:textId="77777777" w:rsidR="00680EAD" w:rsidRPr="00FB65BA" w:rsidRDefault="00680EAD" w:rsidP="004052DF"/>
        </w:tc>
      </w:tr>
      <w:tr w:rsidR="00680EAD" w:rsidRPr="00FB65BA" w14:paraId="66408C1D" w14:textId="77777777" w:rsidTr="004052DF">
        <w:trPr>
          <w:trHeight w:val="825"/>
        </w:trPr>
        <w:tc>
          <w:tcPr>
            <w:tcW w:w="966" w:type="dxa"/>
            <w:shd w:val="clear" w:color="auto" w:fill="auto"/>
            <w:noWrap/>
            <w:hideMark/>
          </w:tcPr>
          <w:p w14:paraId="1DDAA1F3" w14:textId="77777777" w:rsidR="00680EAD" w:rsidRPr="00FB65BA" w:rsidRDefault="00680EAD" w:rsidP="004052DF">
            <w:r w:rsidRPr="00FB65BA">
              <w:t>1.3.6.1.2.</w:t>
            </w:r>
          </w:p>
        </w:tc>
        <w:tc>
          <w:tcPr>
            <w:tcW w:w="3145" w:type="dxa"/>
            <w:shd w:val="clear" w:color="auto" w:fill="auto"/>
            <w:hideMark/>
          </w:tcPr>
          <w:p w14:paraId="6783B26E" w14:textId="77777777" w:rsidR="00680EAD" w:rsidRPr="00FB65BA" w:rsidRDefault="00680EAD" w:rsidP="004052DF">
            <w:r w:rsidRPr="00FB65BA">
              <w:t>в пользу иных юридических лиц (индивидуальных предпринимателей) и организаций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26106EB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0,5% от суммы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1F5340DC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25 BYN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7EC0971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300 BYN</w:t>
            </w:r>
          </w:p>
        </w:tc>
        <w:tc>
          <w:tcPr>
            <w:tcW w:w="6804" w:type="dxa"/>
            <w:vMerge/>
            <w:vAlign w:val="center"/>
            <w:hideMark/>
          </w:tcPr>
          <w:p w14:paraId="153325DF" w14:textId="77777777" w:rsidR="00680EAD" w:rsidRPr="00FB65BA" w:rsidRDefault="00680EAD" w:rsidP="004052DF"/>
        </w:tc>
      </w:tr>
      <w:tr w:rsidR="00680EAD" w:rsidRPr="00FB65BA" w14:paraId="3B42201F" w14:textId="77777777" w:rsidTr="004052DF">
        <w:trPr>
          <w:trHeight w:val="555"/>
        </w:trPr>
        <w:tc>
          <w:tcPr>
            <w:tcW w:w="966" w:type="dxa"/>
            <w:shd w:val="clear" w:color="auto" w:fill="auto"/>
            <w:noWrap/>
            <w:hideMark/>
          </w:tcPr>
          <w:p w14:paraId="554C25E7" w14:textId="77777777" w:rsidR="00680EAD" w:rsidRPr="00FB65BA" w:rsidRDefault="00680EAD" w:rsidP="004052DF">
            <w:r w:rsidRPr="00FB65BA">
              <w:t>1.3.6.2.</w:t>
            </w:r>
          </w:p>
        </w:tc>
        <w:tc>
          <w:tcPr>
            <w:tcW w:w="3145" w:type="dxa"/>
            <w:shd w:val="clear" w:color="auto" w:fill="auto"/>
            <w:hideMark/>
          </w:tcPr>
          <w:p w14:paraId="6556E1F0" w14:textId="77777777" w:rsidR="00680EAD" w:rsidRPr="00FB65BA" w:rsidRDefault="00680EAD" w:rsidP="004052DF">
            <w:r w:rsidRPr="00FB65BA">
              <w:t>в другом банке Республики Беларусь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512697EB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1% от суммы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509EE325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35 BYN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7CD4EF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450 BYN</w:t>
            </w:r>
          </w:p>
        </w:tc>
        <w:tc>
          <w:tcPr>
            <w:tcW w:w="6804" w:type="dxa"/>
            <w:vMerge/>
            <w:vAlign w:val="center"/>
            <w:hideMark/>
          </w:tcPr>
          <w:p w14:paraId="2201D481" w14:textId="77777777" w:rsidR="00680EAD" w:rsidRPr="00FB65BA" w:rsidRDefault="00680EAD" w:rsidP="004052DF"/>
        </w:tc>
      </w:tr>
      <w:tr w:rsidR="00680EAD" w:rsidRPr="00FB65BA" w14:paraId="2175349D" w14:textId="77777777" w:rsidTr="004052DF">
        <w:trPr>
          <w:trHeight w:val="540"/>
        </w:trPr>
        <w:tc>
          <w:tcPr>
            <w:tcW w:w="966" w:type="dxa"/>
            <w:shd w:val="clear" w:color="auto" w:fill="auto"/>
            <w:noWrap/>
            <w:hideMark/>
          </w:tcPr>
          <w:p w14:paraId="72D71522" w14:textId="77777777" w:rsidR="00680EAD" w:rsidRPr="00FB65BA" w:rsidRDefault="00680EAD" w:rsidP="004052DF">
            <w:r w:rsidRPr="00FB65BA">
              <w:t>1.3.7.</w:t>
            </w:r>
          </w:p>
        </w:tc>
        <w:tc>
          <w:tcPr>
            <w:tcW w:w="3145" w:type="dxa"/>
            <w:shd w:val="clear" w:color="auto" w:fill="auto"/>
            <w:hideMark/>
          </w:tcPr>
          <w:p w14:paraId="4052AB51" w14:textId="77777777" w:rsidR="00680EAD" w:rsidRPr="00FB65BA" w:rsidRDefault="00680EAD" w:rsidP="004052DF">
            <w:r w:rsidRPr="00FB65BA">
              <w:t>Выдача наличной валюты по переводу (без открытия счета):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3E8326E8" w14:textId="77777777" w:rsidR="00680EAD" w:rsidRPr="00FB65BA" w:rsidRDefault="00680EAD" w:rsidP="004052DF">
            <w:pPr>
              <w:jc w:val="center"/>
            </w:pPr>
            <w:r w:rsidRPr="00FB65BA">
              <w:t> 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48785C03" w14:textId="77777777" w:rsidR="00680EAD" w:rsidRPr="00FB65BA" w:rsidRDefault="00680EAD" w:rsidP="004052DF">
            <w:pPr>
              <w:jc w:val="center"/>
            </w:pPr>
            <w:r w:rsidRPr="00FB65BA"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C6EAEBD" w14:textId="77777777" w:rsidR="00680EAD" w:rsidRPr="00FB65BA" w:rsidRDefault="00680EAD" w:rsidP="004052DF">
            <w:pPr>
              <w:jc w:val="center"/>
            </w:pPr>
            <w:r w:rsidRPr="00FB65BA">
              <w:t> </w:t>
            </w:r>
          </w:p>
        </w:tc>
        <w:tc>
          <w:tcPr>
            <w:tcW w:w="6804" w:type="dxa"/>
            <w:vMerge w:val="restart"/>
            <w:shd w:val="clear" w:color="auto" w:fill="auto"/>
            <w:hideMark/>
          </w:tcPr>
          <w:p w14:paraId="4D3265B8" w14:textId="77777777" w:rsidR="00680EAD" w:rsidRPr="00FB65BA" w:rsidRDefault="00680EAD" w:rsidP="004052DF">
            <w:pPr>
              <w:jc w:val="both"/>
            </w:pPr>
            <w:r w:rsidRPr="00FB65BA">
              <w:t xml:space="preserve">Вознаграждение взимается с получателя средств. </w:t>
            </w:r>
            <w:r w:rsidRPr="00FB65BA">
              <w:br/>
              <w:t>При расчете вознаграждения используется официальный курс Национального банка Республики Беларусь на дату совершения операции.</w:t>
            </w:r>
          </w:p>
        </w:tc>
      </w:tr>
      <w:tr w:rsidR="00680EAD" w:rsidRPr="00FB65BA" w14:paraId="5A8FB074" w14:textId="77777777" w:rsidTr="004052DF">
        <w:trPr>
          <w:trHeight w:val="1035"/>
        </w:trPr>
        <w:tc>
          <w:tcPr>
            <w:tcW w:w="966" w:type="dxa"/>
            <w:shd w:val="clear" w:color="auto" w:fill="auto"/>
            <w:noWrap/>
            <w:hideMark/>
          </w:tcPr>
          <w:p w14:paraId="28702CAD" w14:textId="77777777" w:rsidR="00680EAD" w:rsidRPr="00FB65BA" w:rsidRDefault="00680EAD" w:rsidP="004052DF">
            <w:r w:rsidRPr="00FB65BA">
              <w:t>1.3.7.1.</w:t>
            </w:r>
          </w:p>
        </w:tc>
        <w:tc>
          <w:tcPr>
            <w:tcW w:w="3145" w:type="dxa"/>
            <w:shd w:val="clear" w:color="auto" w:fill="auto"/>
            <w:hideMark/>
          </w:tcPr>
          <w:p w14:paraId="726EA0D1" w14:textId="77777777" w:rsidR="00680EAD" w:rsidRPr="00FB65BA" w:rsidRDefault="00680EAD" w:rsidP="004052DF">
            <w:r w:rsidRPr="00FB65BA">
              <w:t>до 100 BYN включительно в эквиваленте иностранной валюты по официальному курсу Национального банка Республики Беларусь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191C6611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15% от суммы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18462A1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C8AD20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-</w:t>
            </w:r>
          </w:p>
        </w:tc>
        <w:tc>
          <w:tcPr>
            <w:tcW w:w="6804" w:type="dxa"/>
            <w:vMerge/>
            <w:vAlign w:val="center"/>
            <w:hideMark/>
          </w:tcPr>
          <w:p w14:paraId="73A6A187" w14:textId="77777777" w:rsidR="00680EAD" w:rsidRPr="00FB65BA" w:rsidRDefault="00680EAD" w:rsidP="004052DF"/>
        </w:tc>
      </w:tr>
      <w:tr w:rsidR="00680EAD" w:rsidRPr="00FB65BA" w14:paraId="58188BED" w14:textId="77777777" w:rsidTr="004052DF">
        <w:trPr>
          <w:trHeight w:val="1337"/>
        </w:trPr>
        <w:tc>
          <w:tcPr>
            <w:tcW w:w="966" w:type="dxa"/>
            <w:shd w:val="clear" w:color="auto" w:fill="auto"/>
            <w:noWrap/>
            <w:hideMark/>
          </w:tcPr>
          <w:p w14:paraId="55712815" w14:textId="77777777" w:rsidR="00680EAD" w:rsidRPr="00FB65BA" w:rsidRDefault="00680EAD" w:rsidP="004052DF">
            <w:r w:rsidRPr="00FB65BA">
              <w:t>1.3.7.2.</w:t>
            </w:r>
          </w:p>
        </w:tc>
        <w:tc>
          <w:tcPr>
            <w:tcW w:w="3145" w:type="dxa"/>
            <w:shd w:val="clear" w:color="auto" w:fill="auto"/>
            <w:hideMark/>
          </w:tcPr>
          <w:p w14:paraId="711B9494" w14:textId="77777777" w:rsidR="00680EAD" w:rsidRPr="00FB65BA" w:rsidRDefault="00680EAD" w:rsidP="004052DF">
            <w:r w:rsidRPr="00FB65BA">
              <w:t>свыше 100 BYN в эквиваленте иностранной валюты по официальному курсу Национального банка Республики Беларусь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14:paraId="4A1FE1A2" w14:textId="77777777" w:rsidR="00680EAD" w:rsidRPr="00FB65BA" w:rsidRDefault="00680EAD" w:rsidP="004052DF">
            <w:pPr>
              <w:jc w:val="center"/>
              <w:rPr>
                <w:bCs/>
                <w:strike/>
              </w:rPr>
            </w:pPr>
            <w:r w:rsidRPr="00FB65BA">
              <w:rPr>
                <w:bCs/>
              </w:rPr>
              <w:t>2,5% от суммы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441FE509" w14:textId="77777777" w:rsidR="00680EAD" w:rsidRPr="00FB65BA" w:rsidRDefault="00680EAD" w:rsidP="004052DF">
            <w:pPr>
              <w:jc w:val="center"/>
              <w:rPr>
                <w:bCs/>
              </w:rPr>
            </w:pPr>
            <w:r w:rsidRPr="00FB65BA">
              <w:rPr>
                <w:bCs/>
              </w:rPr>
              <w:t>30 BYN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A2544D" w14:textId="77777777" w:rsidR="00680EAD" w:rsidRPr="00FB65BA" w:rsidRDefault="00680EAD" w:rsidP="004052DF">
            <w:pPr>
              <w:jc w:val="center"/>
            </w:pPr>
            <w:r w:rsidRPr="00FB65BA">
              <w:t>-</w:t>
            </w:r>
          </w:p>
        </w:tc>
        <w:tc>
          <w:tcPr>
            <w:tcW w:w="6804" w:type="dxa"/>
            <w:vMerge/>
            <w:vAlign w:val="center"/>
            <w:hideMark/>
          </w:tcPr>
          <w:p w14:paraId="6C88D321" w14:textId="77777777" w:rsidR="00680EAD" w:rsidRPr="00FB65BA" w:rsidRDefault="00680EAD" w:rsidP="004052DF"/>
        </w:tc>
      </w:tr>
    </w:tbl>
    <w:p w14:paraId="40BCF583" w14:textId="77777777" w:rsidR="00680EAD" w:rsidRPr="00FB65BA" w:rsidRDefault="00680EAD" w:rsidP="00680EAD">
      <w:pPr>
        <w:pStyle w:val="a3"/>
        <w:tabs>
          <w:tab w:val="left" w:pos="1134"/>
        </w:tabs>
        <w:ind w:left="709"/>
        <w:jc w:val="right"/>
        <w:rPr>
          <w:sz w:val="28"/>
          <w:szCs w:val="28"/>
        </w:rPr>
      </w:pPr>
      <w:r w:rsidRPr="00FB65BA">
        <w:rPr>
          <w:sz w:val="28"/>
          <w:szCs w:val="28"/>
        </w:rPr>
        <w:t>».</w:t>
      </w:r>
    </w:p>
    <w:p w14:paraId="52F91AE7" w14:textId="77777777" w:rsidR="009C07CC" w:rsidRPr="0018299A" w:rsidRDefault="009C07CC" w:rsidP="00680EAD">
      <w:pPr>
        <w:pStyle w:val="a3"/>
        <w:tabs>
          <w:tab w:val="left" w:pos="1276"/>
        </w:tabs>
        <w:ind w:left="709"/>
        <w:jc w:val="both"/>
        <w:rPr>
          <w:sz w:val="28"/>
          <w:szCs w:val="28"/>
        </w:rPr>
      </w:pPr>
    </w:p>
    <w:sectPr w:rsidR="009C07CC" w:rsidRPr="0018299A" w:rsidSect="00DA799D">
      <w:headerReference w:type="firs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828E8" w14:textId="77777777" w:rsidR="007B3210" w:rsidRDefault="007B3210" w:rsidP="00EA2A50">
      <w:r>
        <w:separator/>
      </w:r>
    </w:p>
  </w:endnote>
  <w:endnote w:type="continuationSeparator" w:id="0">
    <w:p w14:paraId="526E9CE0" w14:textId="77777777" w:rsidR="007B3210" w:rsidRDefault="007B3210" w:rsidP="00EA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BD426" w14:textId="77777777" w:rsidR="007B3210" w:rsidRDefault="007B3210" w:rsidP="00EA2A50">
      <w:r>
        <w:separator/>
      </w:r>
    </w:p>
  </w:footnote>
  <w:footnote w:type="continuationSeparator" w:id="0">
    <w:p w14:paraId="0B33044F" w14:textId="77777777" w:rsidR="007B3210" w:rsidRDefault="007B3210" w:rsidP="00EA2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75785"/>
      <w:docPartObj>
        <w:docPartGallery w:val="Page Numbers (Top of Page)"/>
        <w:docPartUnique/>
      </w:docPartObj>
    </w:sdtPr>
    <w:sdtContent>
      <w:p w14:paraId="4CFF8CAE" w14:textId="55306910" w:rsidR="00DA799D" w:rsidRDefault="00DA799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1F99407" w14:textId="77777777" w:rsidR="00DA799D" w:rsidRDefault="00DA799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987"/>
    <w:multiLevelType w:val="hybridMultilevel"/>
    <w:tmpl w:val="4B1AB25A"/>
    <w:lvl w:ilvl="0" w:tplc="E2E4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23F69"/>
    <w:multiLevelType w:val="multilevel"/>
    <w:tmpl w:val="FA06700A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C202A9C"/>
    <w:multiLevelType w:val="multilevel"/>
    <w:tmpl w:val="384E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hint="default"/>
        <w:color w:val="000000"/>
      </w:rPr>
    </w:lvl>
  </w:abstractNum>
  <w:abstractNum w:abstractNumId="3">
    <w:nsid w:val="28D5362A"/>
    <w:multiLevelType w:val="multilevel"/>
    <w:tmpl w:val="4FCCC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DC441D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2D3E99"/>
    <w:multiLevelType w:val="multilevel"/>
    <w:tmpl w:val="67B62D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A863DC"/>
    <w:multiLevelType w:val="multilevel"/>
    <w:tmpl w:val="6DEC7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96A7134"/>
    <w:multiLevelType w:val="multilevel"/>
    <w:tmpl w:val="E0CA4A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F685096"/>
    <w:multiLevelType w:val="hybridMultilevel"/>
    <w:tmpl w:val="02E6924E"/>
    <w:lvl w:ilvl="0" w:tplc="FDE4C96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4932D8"/>
    <w:multiLevelType w:val="multilevel"/>
    <w:tmpl w:val="384E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9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5"/>
    <w:rsid w:val="0000197E"/>
    <w:rsid w:val="000042FA"/>
    <w:rsid w:val="00005B05"/>
    <w:rsid w:val="000153BF"/>
    <w:rsid w:val="0001786A"/>
    <w:rsid w:val="000264A6"/>
    <w:rsid w:val="00031D6E"/>
    <w:rsid w:val="000339D6"/>
    <w:rsid w:val="00037B42"/>
    <w:rsid w:val="00046659"/>
    <w:rsid w:val="000507EC"/>
    <w:rsid w:val="00054936"/>
    <w:rsid w:val="00055393"/>
    <w:rsid w:val="00055E9D"/>
    <w:rsid w:val="00057F10"/>
    <w:rsid w:val="00063694"/>
    <w:rsid w:val="00067667"/>
    <w:rsid w:val="00083C7E"/>
    <w:rsid w:val="00083F5A"/>
    <w:rsid w:val="00092A02"/>
    <w:rsid w:val="00094FDE"/>
    <w:rsid w:val="00096D75"/>
    <w:rsid w:val="00097187"/>
    <w:rsid w:val="000A7B10"/>
    <w:rsid w:val="000C0048"/>
    <w:rsid w:val="000C4E79"/>
    <w:rsid w:val="000D2AA6"/>
    <w:rsid w:val="000D558A"/>
    <w:rsid w:val="000D6207"/>
    <w:rsid w:val="000E3103"/>
    <w:rsid w:val="000F4757"/>
    <w:rsid w:val="000F73EF"/>
    <w:rsid w:val="0010481C"/>
    <w:rsid w:val="00106536"/>
    <w:rsid w:val="0011344B"/>
    <w:rsid w:val="00120CEA"/>
    <w:rsid w:val="00124F6D"/>
    <w:rsid w:val="00132468"/>
    <w:rsid w:val="001342BE"/>
    <w:rsid w:val="00134A09"/>
    <w:rsid w:val="001401ED"/>
    <w:rsid w:val="00155FBF"/>
    <w:rsid w:val="00157A25"/>
    <w:rsid w:val="00162270"/>
    <w:rsid w:val="001634AB"/>
    <w:rsid w:val="00175FA0"/>
    <w:rsid w:val="0018299A"/>
    <w:rsid w:val="00182DF2"/>
    <w:rsid w:val="00183AC0"/>
    <w:rsid w:val="0018510A"/>
    <w:rsid w:val="001851E2"/>
    <w:rsid w:val="0019093C"/>
    <w:rsid w:val="0019208F"/>
    <w:rsid w:val="001B20CF"/>
    <w:rsid w:val="001B446A"/>
    <w:rsid w:val="001C2107"/>
    <w:rsid w:val="001C50DE"/>
    <w:rsid w:val="001D4618"/>
    <w:rsid w:val="001D6D73"/>
    <w:rsid w:val="001E1AD0"/>
    <w:rsid w:val="001E3CFC"/>
    <w:rsid w:val="001E612C"/>
    <w:rsid w:val="001E7E5E"/>
    <w:rsid w:val="001F671B"/>
    <w:rsid w:val="00201D09"/>
    <w:rsid w:val="00205A1F"/>
    <w:rsid w:val="002069FD"/>
    <w:rsid w:val="00207C35"/>
    <w:rsid w:val="00211787"/>
    <w:rsid w:val="00212710"/>
    <w:rsid w:val="00223C0B"/>
    <w:rsid w:val="00240B92"/>
    <w:rsid w:val="00250128"/>
    <w:rsid w:val="002541FC"/>
    <w:rsid w:val="00256185"/>
    <w:rsid w:val="00256580"/>
    <w:rsid w:val="002572A5"/>
    <w:rsid w:val="002575EB"/>
    <w:rsid w:val="00270C7E"/>
    <w:rsid w:val="002765B5"/>
    <w:rsid w:val="00276B2E"/>
    <w:rsid w:val="0028340C"/>
    <w:rsid w:val="00293A51"/>
    <w:rsid w:val="002941BB"/>
    <w:rsid w:val="002C1A1C"/>
    <w:rsid w:val="002C2088"/>
    <w:rsid w:val="002C2B6D"/>
    <w:rsid w:val="002C4B87"/>
    <w:rsid w:val="002C4C98"/>
    <w:rsid w:val="002D095A"/>
    <w:rsid w:val="002D2458"/>
    <w:rsid w:val="002D4030"/>
    <w:rsid w:val="002D4BF3"/>
    <w:rsid w:val="002E12DD"/>
    <w:rsid w:val="002F4D8F"/>
    <w:rsid w:val="003049A8"/>
    <w:rsid w:val="00315A96"/>
    <w:rsid w:val="00315C47"/>
    <w:rsid w:val="00317DB1"/>
    <w:rsid w:val="00320437"/>
    <w:rsid w:val="00320691"/>
    <w:rsid w:val="003207F5"/>
    <w:rsid w:val="00336B8A"/>
    <w:rsid w:val="00341F08"/>
    <w:rsid w:val="0034237A"/>
    <w:rsid w:val="003426B0"/>
    <w:rsid w:val="003469B0"/>
    <w:rsid w:val="003536C5"/>
    <w:rsid w:val="00362419"/>
    <w:rsid w:val="00362F37"/>
    <w:rsid w:val="003635D6"/>
    <w:rsid w:val="003674CB"/>
    <w:rsid w:val="003714B6"/>
    <w:rsid w:val="00372707"/>
    <w:rsid w:val="003750E1"/>
    <w:rsid w:val="003811F3"/>
    <w:rsid w:val="00386545"/>
    <w:rsid w:val="00386ADD"/>
    <w:rsid w:val="00386E9C"/>
    <w:rsid w:val="0039037E"/>
    <w:rsid w:val="00392002"/>
    <w:rsid w:val="00392023"/>
    <w:rsid w:val="00394C6E"/>
    <w:rsid w:val="003A21FB"/>
    <w:rsid w:val="003A4FA3"/>
    <w:rsid w:val="003B140A"/>
    <w:rsid w:val="003B23EA"/>
    <w:rsid w:val="003B2CD7"/>
    <w:rsid w:val="003B3DDE"/>
    <w:rsid w:val="003B3FEB"/>
    <w:rsid w:val="003B6009"/>
    <w:rsid w:val="003C1115"/>
    <w:rsid w:val="003C61EE"/>
    <w:rsid w:val="003C75D9"/>
    <w:rsid w:val="003D2228"/>
    <w:rsid w:val="003D4B9F"/>
    <w:rsid w:val="003D585A"/>
    <w:rsid w:val="003D5972"/>
    <w:rsid w:val="003D5AE0"/>
    <w:rsid w:val="003E2E95"/>
    <w:rsid w:val="003E5B33"/>
    <w:rsid w:val="003F03BE"/>
    <w:rsid w:val="003F10AD"/>
    <w:rsid w:val="003F5900"/>
    <w:rsid w:val="00401B2F"/>
    <w:rsid w:val="00417AE7"/>
    <w:rsid w:val="004262E0"/>
    <w:rsid w:val="004348D1"/>
    <w:rsid w:val="00436110"/>
    <w:rsid w:val="00445230"/>
    <w:rsid w:val="00445C5B"/>
    <w:rsid w:val="00452AB9"/>
    <w:rsid w:val="00455CE6"/>
    <w:rsid w:val="00456B96"/>
    <w:rsid w:val="00457429"/>
    <w:rsid w:val="00462D83"/>
    <w:rsid w:val="004634EE"/>
    <w:rsid w:val="0046532D"/>
    <w:rsid w:val="0046539E"/>
    <w:rsid w:val="00474984"/>
    <w:rsid w:val="004840C3"/>
    <w:rsid w:val="00487A81"/>
    <w:rsid w:val="00490A39"/>
    <w:rsid w:val="00492BF4"/>
    <w:rsid w:val="004A21FA"/>
    <w:rsid w:val="004A7BD8"/>
    <w:rsid w:val="004A7C81"/>
    <w:rsid w:val="004B1DB2"/>
    <w:rsid w:val="004B54C6"/>
    <w:rsid w:val="004B683E"/>
    <w:rsid w:val="004C135B"/>
    <w:rsid w:val="004C1DC2"/>
    <w:rsid w:val="004C2AAB"/>
    <w:rsid w:val="004D2181"/>
    <w:rsid w:val="004D4EE3"/>
    <w:rsid w:val="004D6EBE"/>
    <w:rsid w:val="004E0D3D"/>
    <w:rsid w:val="004E441E"/>
    <w:rsid w:val="004E5919"/>
    <w:rsid w:val="004F274D"/>
    <w:rsid w:val="004F424E"/>
    <w:rsid w:val="004F5C22"/>
    <w:rsid w:val="004F6358"/>
    <w:rsid w:val="00500A82"/>
    <w:rsid w:val="005102D1"/>
    <w:rsid w:val="00515DB0"/>
    <w:rsid w:val="005230CB"/>
    <w:rsid w:val="00526FCF"/>
    <w:rsid w:val="00540BDF"/>
    <w:rsid w:val="005539D2"/>
    <w:rsid w:val="0056330E"/>
    <w:rsid w:val="0056431D"/>
    <w:rsid w:val="00570E60"/>
    <w:rsid w:val="00571999"/>
    <w:rsid w:val="005824BF"/>
    <w:rsid w:val="005950E6"/>
    <w:rsid w:val="005A5894"/>
    <w:rsid w:val="005B1E02"/>
    <w:rsid w:val="005E3E7F"/>
    <w:rsid w:val="005E5BA9"/>
    <w:rsid w:val="005F301F"/>
    <w:rsid w:val="006026E4"/>
    <w:rsid w:val="0060750E"/>
    <w:rsid w:val="00607BB0"/>
    <w:rsid w:val="006126AB"/>
    <w:rsid w:val="006243FD"/>
    <w:rsid w:val="006268F4"/>
    <w:rsid w:val="00627E17"/>
    <w:rsid w:val="00630890"/>
    <w:rsid w:val="00633278"/>
    <w:rsid w:val="0063734F"/>
    <w:rsid w:val="006477F8"/>
    <w:rsid w:val="00654335"/>
    <w:rsid w:val="00654674"/>
    <w:rsid w:val="006552DE"/>
    <w:rsid w:val="0065631D"/>
    <w:rsid w:val="006579C0"/>
    <w:rsid w:val="00661C52"/>
    <w:rsid w:val="00661C5C"/>
    <w:rsid w:val="006629D7"/>
    <w:rsid w:val="00665B67"/>
    <w:rsid w:val="00674C2E"/>
    <w:rsid w:val="0067781E"/>
    <w:rsid w:val="00680EAD"/>
    <w:rsid w:val="00684DB4"/>
    <w:rsid w:val="006904FD"/>
    <w:rsid w:val="006945DB"/>
    <w:rsid w:val="00696869"/>
    <w:rsid w:val="006A517E"/>
    <w:rsid w:val="006B1D0E"/>
    <w:rsid w:val="006C01CE"/>
    <w:rsid w:val="006C0B65"/>
    <w:rsid w:val="006D543F"/>
    <w:rsid w:val="006F14BA"/>
    <w:rsid w:val="00702274"/>
    <w:rsid w:val="0070282E"/>
    <w:rsid w:val="007036C7"/>
    <w:rsid w:val="00703C2F"/>
    <w:rsid w:val="00706491"/>
    <w:rsid w:val="00707008"/>
    <w:rsid w:val="00712C12"/>
    <w:rsid w:val="00714A98"/>
    <w:rsid w:val="00724154"/>
    <w:rsid w:val="00726E04"/>
    <w:rsid w:val="007312B2"/>
    <w:rsid w:val="00734F07"/>
    <w:rsid w:val="00736616"/>
    <w:rsid w:val="00741502"/>
    <w:rsid w:val="0074163D"/>
    <w:rsid w:val="007572FD"/>
    <w:rsid w:val="00761A37"/>
    <w:rsid w:val="00761BC0"/>
    <w:rsid w:val="007623B7"/>
    <w:rsid w:val="00763E94"/>
    <w:rsid w:val="00764D1F"/>
    <w:rsid w:val="007718A8"/>
    <w:rsid w:val="0077436E"/>
    <w:rsid w:val="007773D0"/>
    <w:rsid w:val="007873A2"/>
    <w:rsid w:val="0079038D"/>
    <w:rsid w:val="00791482"/>
    <w:rsid w:val="0079315E"/>
    <w:rsid w:val="007A06B3"/>
    <w:rsid w:val="007A734B"/>
    <w:rsid w:val="007B3210"/>
    <w:rsid w:val="007B3780"/>
    <w:rsid w:val="007C1DFF"/>
    <w:rsid w:val="007C2707"/>
    <w:rsid w:val="007C358F"/>
    <w:rsid w:val="007D419B"/>
    <w:rsid w:val="007E2F2D"/>
    <w:rsid w:val="007E7200"/>
    <w:rsid w:val="007F2951"/>
    <w:rsid w:val="007F544E"/>
    <w:rsid w:val="007F57FA"/>
    <w:rsid w:val="007F6F25"/>
    <w:rsid w:val="007F7489"/>
    <w:rsid w:val="00802C73"/>
    <w:rsid w:val="008100DD"/>
    <w:rsid w:val="00810ACA"/>
    <w:rsid w:val="00811A19"/>
    <w:rsid w:val="0082539E"/>
    <w:rsid w:val="0082539F"/>
    <w:rsid w:val="00825860"/>
    <w:rsid w:val="008258FD"/>
    <w:rsid w:val="008333DC"/>
    <w:rsid w:val="0085153B"/>
    <w:rsid w:val="00851F9D"/>
    <w:rsid w:val="0085261C"/>
    <w:rsid w:val="0085452B"/>
    <w:rsid w:val="00855B2B"/>
    <w:rsid w:val="0086234F"/>
    <w:rsid w:val="0086430A"/>
    <w:rsid w:val="00865F96"/>
    <w:rsid w:val="00870D35"/>
    <w:rsid w:val="00871D4F"/>
    <w:rsid w:val="00873567"/>
    <w:rsid w:val="008770C6"/>
    <w:rsid w:val="00877DDA"/>
    <w:rsid w:val="008853EC"/>
    <w:rsid w:val="0089644C"/>
    <w:rsid w:val="008A0314"/>
    <w:rsid w:val="008B4437"/>
    <w:rsid w:val="008B7E4B"/>
    <w:rsid w:val="008D4D71"/>
    <w:rsid w:val="008E0C00"/>
    <w:rsid w:val="008F4D55"/>
    <w:rsid w:val="008F63DF"/>
    <w:rsid w:val="00900D7A"/>
    <w:rsid w:val="00914149"/>
    <w:rsid w:val="00914E28"/>
    <w:rsid w:val="0091529B"/>
    <w:rsid w:val="0091630F"/>
    <w:rsid w:val="009274A2"/>
    <w:rsid w:val="00930C31"/>
    <w:rsid w:val="0093669A"/>
    <w:rsid w:val="009367D3"/>
    <w:rsid w:val="009423D6"/>
    <w:rsid w:val="009513A6"/>
    <w:rsid w:val="0095332F"/>
    <w:rsid w:val="00957FAA"/>
    <w:rsid w:val="00965167"/>
    <w:rsid w:val="009708FA"/>
    <w:rsid w:val="0097247A"/>
    <w:rsid w:val="009749AE"/>
    <w:rsid w:val="0098034B"/>
    <w:rsid w:val="00980E79"/>
    <w:rsid w:val="009818C8"/>
    <w:rsid w:val="00991D9A"/>
    <w:rsid w:val="00992E64"/>
    <w:rsid w:val="009934DD"/>
    <w:rsid w:val="009A022D"/>
    <w:rsid w:val="009A1376"/>
    <w:rsid w:val="009A3B38"/>
    <w:rsid w:val="009A6E6E"/>
    <w:rsid w:val="009B6098"/>
    <w:rsid w:val="009B6B4F"/>
    <w:rsid w:val="009C07CC"/>
    <w:rsid w:val="009D0A07"/>
    <w:rsid w:val="009E043D"/>
    <w:rsid w:val="009E0AAD"/>
    <w:rsid w:val="009F242B"/>
    <w:rsid w:val="00A05F79"/>
    <w:rsid w:val="00A15FEC"/>
    <w:rsid w:val="00A21A65"/>
    <w:rsid w:val="00A22A0F"/>
    <w:rsid w:val="00A25F71"/>
    <w:rsid w:val="00A3331A"/>
    <w:rsid w:val="00A54BE7"/>
    <w:rsid w:val="00A54FE0"/>
    <w:rsid w:val="00A55091"/>
    <w:rsid w:val="00A555DD"/>
    <w:rsid w:val="00A560E8"/>
    <w:rsid w:val="00A634C6"/>
    <w:rsid w:val="00A65B9D"/>
    <w:rsid w:val="00A6695D"/>
    <w:rsid w:val="00A7124A"/>
    <w:rsid w:val="00A71514"/>
    <w:rsid w:val="00A77592"/>
    <w:rsid w:val="00A83AE7"/>
    <w:rsid w:val="00A93912"/>
    <w:rsid w:val="00A940C7"/>
    <w:rsid w:val="00AA0723"/>
    <w:rsid w:val="00AA63C8"/>
    <w:rsid w:val="00AA7DE0"/>
    <w:rsid w:val="00AB162D"/>
    <w:rsid w:val="00AB3184"/>
    <w:rsid w:val="00AB779B"/>
    <w:rsid w:val="00AB7DB3"/>
    <w:rsid w:val="00AC198F"/>
    <w:rsid w:val="00AC253E"/>
    <w:rsid w:val="00AC76C1"/>
    <w:rsid w:val="00AD3728"/>
    <w:rsid w:val="00AD3DF1"/>
    <w:rsid w:val="00AE03A7"/>
    <w:rsid w:val="00AE6D4B"/>
    <w:rsid w:val="00AE708F"/>
    <w:rsid w:val="00B0555F"/>
    <w:rsid w:val="00B06D9D"/>
    <w:rsid w:val="00B07224"/>
    <w:rsid w:val="00B105D4"/>
    <w:rsid w:val="00B11736"/>
    <w:rsid w:val="00B12E25"/>
    <w:rsid w:val="00B27A32"/>
    <w:rsid w:val="00B27BE6"/>
    <w:rsid w:val="00B304C1"/>
    <w:rsid w:val="00B345D3"/>
    <w:rsid w:val="00B40321"/>
    <w:rsid w:val="00B410E8"/>
    <w:rsid w:val="00B418E9"/>
    <w:rsid w:val="00B46920"/>
    <w:rsid w:val="00B51D75"/>
    <w:rsid w:val="00B54435"/>
    <w:rsid w:val="00B64E27"/>
    <w:rsid w:val="00B70FF1"/>
    <w:rsid w:val="00B73011"/>
    <w:rsid w:val="00B77835"/>
    <w:rsid w:val="00B85F6B"/>
    <w:rsid w:val="00B9426E"/>
    <w:rsid w:val="00B94DFA"/>
    <w:rsid w:val="00BA451A"/>
    <w:rsid w:val="00BA4AC4"/>
    <w:rsid w:val="00BA6FF0"/>
    <w:rsid w:val="00BB089D"/>
    <w:rsid w:val="00BB35FA"/>
    <w:rsid w:val="00BB61C6"/>
    <w:rsid w:val="00BC0405"/>
    <w:rsid w:val="00BC20D3"/>
    <w:rsid w:val="00BC73D1"/>
    <w:rsid w:val="00BD146B"/>
    <w:rsid w:val="00BE419D"/>
    <w:rsid w:val="00BE7523"/>
    <w:rsid w:val="00BE7AA4"/>
    <w:rsid w:val="00BF6035"/>
    <w:rsid w:val="00C14DBB"/>
    <w:rsid w:val="00C17EF5"/>
    <w:rsid w:val="00C2791F"/>
    <w:rsid w:val="00C30934"/>
    <w:rsid w:val="00C327F2"/>
    <w:rsid w:val="00C34D39"/>
    <w:rsid w:val="00C36907"/>
    <w:rsid w:val="00C40177"/>
    <w:rsid w:val="00C40249"/>
    <w:rsid w:val="00C41DA4"/>
    <w:rsid w:val="00C45FE2"/>
    <w:rsid w:val="00C5791A"/>
    <w:rsid w:val="00C61AFA"/>
    <w:rsid w:val="00C61B85"/>
    <w:rsid w:val="00C631BA"/>
    <w:rsid w:val="00C63BA2"/>
    <w:rsid w:val="00C64294"/>
    <w:rsid w:val="00C64F7A"/>
    <w:rsid w:val="00C67D7A"/>
    <w:rsid w:val="00C74F98"/>
    <w:rsid w:val="00C83B29"/>
    <w:rsid w:val="00C9290C"/>
    <w:rsid w:val="00C92D16"/>
    <w:rsid w:val="00CA43C2"/>
    <w:rsid w:val="00CE183C"/>
    <w:rsid w:val="00CE1D7D"/>
    <w:rsid w:val="00CE7446"/>
    <w:rsid w:val="00D067DB"/>
    <w:rsid w:val="00D07EC5"/>
    <w:rsid w:val="00D1667F"/>
    <w:rsid w:val="00D1738E"/>
    <w:rsid w:val="00D21C98"/>
    <w:rsid w:val="00D31A45"/>
    <w:rsid w:val="00D36589"/>
    <w:rsid w:val="00D3662E"/>
    <w:rsid w:val="00D404C2"/>
    <w:rsid w:val="00D40E2E"/>
    <w:rsid w:val="00D4448E"/>
    <w:rsid w:val="00D46081"/>
    <w:rsid w:val="00D63381"/>
    <w:rsid w:val="00D641EE"/>
    <w:rsid w:val="00D671EE"/>
    <w:rsid w:val="00D708B3"/>
    <w:rsid w:val="00D70D3A"/>
    <w:rsid w:val="00D71CFB"/>
    <w:rsid w:val="00D72A32"/>
    <w:rsid w:val="00D73A0E"/>
    <w:rsid w:val="00D81E7B"/>
    <w:rsid w:val="00D853BE"/>
    <w:rsid w:val="00D86749"/>
    <w:rsid w:val="00D869A3"/>
    <w:rsid w:val="00D91080"/>
    <w:rsid w:val="00D911D2"/>
    <w:rsid w:val="00D92BB6"/>
    <w:rsid w:val="00DA0A12"/>
    <w:rsid w:val="00DA5E3B"/>
    <w:rsid w:val="00DA799D"/>
    <w:rsid w:val="00DB150C"/>
    <w:rsid w:val="00DC0D16"/>
    <w:rsid w:val="00DC10D3"/>
    <w:rsid w:val="00DC123E"/>
    <w:rsid w:val="00DC1332"/>
    <w:rsid w:val="00DC1593"/>
    <w:rsid w:val="00DC2D44"/>
    <w:rsid w:val="00DD0401"/>
    <w:rsid w:val="00DD1AAA"/>
    <w:rsid w:val="00DD30EF"/>
    <w:rsid w:val="00DD3C9E"/>
    <w:rsid w:val="00DD437C"/>
    <w:rsid w:val="00DE1565"/>
    <w:rsid w:val="00DE39BA"/>
    <w:rsid w:val="00DE63CB"/>
    <w:rsid w:val="00DE72EA"/>
    <w:rsid w:val="00DF35F6"/>
    <w:rsid w:val="00DF3701"/>
    <w:rsid w:val="00E008A0"/>
    <w:rsid w:val="00E04E48"/>
    <w:rsid w:val="00E11431"/>
    <w:rsid w:val="00E13379"/>
    <w:rsid w:val="00E13634"/>
    <w:rsid w:val="00E20CDE"/>
    <w:rsid w:val="00E2290A"/>
    <w:rsid w:val="00E32A93"/>
    <w:rsid w:val="00E4081B"/>
    <w:rsid w:val="00E41616"/>
    <w:rsid w:val="00E41CF0"/>
    <w:rsid w:val="00E43793"/>
    <w:rsid w:val="00E500EA"/>
    <w:rsid w:val="00E56E68"/>
    <w:rsid w:val="00E612BD"/>
    <w:rsid w:val="00E64227"/>
    <w:rsid w:val="00E6440F"/>
    <w:rsid w:val="00E74EDD"/>
    <w:rsid w:val="00E9003E"/>
    <w:rsid w:val="00E95BAB"/>
    <w:rsid w:val="00EA2A50"/>
    <w:rsid w:val="00EA5AB1"/>
    <w:rsid w:val="00EB3641"/>
    <w:rsid w:val="00EB51A7"/>
    <w:rsid w:val="00EB6EA1"/>
    <w:rsid w:val="00EC1899"/>
    <w:rsid w:val="00EC31BA"/>
    <w:rsid w:val="00ED48C1"/>
    <w:rsid w:val="00ED78A1"/>
    <w:rsid w:val="00EE25D0"/>
    <w:rsid w:val="00EF009E"/>
    <w:rsid w:val="00EF2ABB"/>
    <w:rsid w:val="00EF4FF5"/>
    <w:rsid w:val="00F017F5"/>
    <w:rsid w:val="00F04AC8"/>
    <w:rsid w:val="00F04B10"/>
    <w:rsid w:val="00F150F5"/>
    <w:rsid w:val="00F20815"/>
    <w:rsid w:val="00F21A85"/>
    <w:rsid w:val="00F275EA"/>
    <w:rsid w:val="00F31022"/>
    <w:rsid w:val="00F317C3"/>
    <w:rsid w:val="00F329D8"/>
    <w:rsid w:val="00F34060"/>
    <w:rsid w:val="00F37EA7"/>
    <w:rsid w:val="00F42744"/>
    <w:rsid w:val="00F4568C"/>
    <w:rsid w:val="00F45B28"/>
    <w:rsid w:val="00F50C5F"/>
    <w:rsid w:val="00F50EC5"/>
    <w:rsid w:val="00F54FD8"/>
    <w:rsid w:val="00F625F9"/>
    <w:rsid w:val="00F77D1E"/>
    <w:rsid w:val="00F803CA"/>
    <w:rsid w:val="00F838D8"/>
    <w:rsid w:val="00F87423"/>
    <w:rsid w:val="00F96745"/>
    <w:rsid w:val="00F97F9F"/>
    <w:rsid w:val="00F97FA2"/>
    <w:rsid w:val="00FA42C0"/>
    <w:rsid w:val="00FA5CDF"/>
    <w:rsid w:val="00FA7727"/>
    <w:rsid w:val="00FB487D"/>
    <w:rsid w:val="00FB57B5"/>
    <w:rsid w:val="00FC6C39"/>
    <w:rsid w:val="00FD18A3"/>
    <w:rsid w:val="00FD30A1"/>
    <w:rsid w:val="00FD3429"/>
    <w:rsid w:val="00FE5596"/>
    <w:rsid w:val="00FE652C"/>
    <w:rsid w:val="00FF2A4B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9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83A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3AE7"/>
  </w:style>
  <w:style w:type="character" w:customStyle="1" w:styleId="af0">
    <w:name w:val="Текст примечания Знак"/>
    <w:basedOn w:val="a0"/>
    <w:link w:val="af"/>
    <w:uiPriority w:val="99"/>
    <w:semiHidden/>
    <w:rsid w:val="00A83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3A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3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8340C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EA2A5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EA2A5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A2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A83A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3AE7"/>
  </w:style>
  <w:style w:type="character" w:customStyle="1" w:styleId="af0">
    <w:name w:val="Текст примечания Знак"/>
    <w:basedOn w:val="a0"/>
    <w:link w:val="af"/>
    <w:uiPriority w:val="99"/>
    <w:semiHidden/>
    <w:rsid w:val="00A83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3A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3A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8340C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EA2A5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EA2A5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A2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67EC-A24F-448B-80E1-DE239148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Юлия</dc:creator>
  <cp:lastModifiedBy>Администратор</cp:lastModifiedBy>
  <cp:revision>5</cp:revision>
  <dcterms:created xsi:type="dcterms:W3CDTF">2020-09-10T05:54:00Z</dcterms:created>
  <dcterms:modified xsi:type="dcterms:W3CDTF">2020-09-10T06:20:00Z</dcterms:modified>
</cp:coreProperties>
</file>