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90" w:rsidRPr="004A1CE9" w:rsidRDefault="00C249CD" w:rsidP="00B61283">
      <w:pPr>
        <w:jc w:val="center"/>
        <w:rPr>
          <w:sz w:val="40"/>
          <w:szCs w:val="40"/>
        </w:rPr>
      </w:pPr>
      <w:r w:rsidRPr="004A1CE9">
        <w:rPr>
          <w:b/>
          <w:sz w:val="40"/>
          <w:szCs w:val="40"/>
        </w:rPr>
        <w:t>ПРИГЛАШЕНИЕ</w:t>
      </w:r>
    </w:p>
    <w:p w:rsidR="0062220F" w:rsidRPr="0046254B" w:rsidRDefault="00C249CD" w:rsidP="00B61283">
      <w:pPr>
        <w:jc w:val="center"/>
        <w:rPr>
          <w:b/>
          <w:sz w:val="28"/>
          <w:szCs w:val="28"/>
        </w:rPr>
      </w:pPr>
      <w:r w:rsidRPr="0046254B">
        <w:rPr>
          <w:b/>
          <w:sz w:val="28"/>
          <w:szCs w:val="28"/>
        </w:rPr>
        <w:t>к участию в процедуре закупки</w:t>
      </w:r>
    </w:p>
    <w:p w:rsidR="00400F10" w:rsidRPr="004A1CE9" w:rsidRDefault="00B61283" w:rsidP="00B61283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</w:t>
      </w:r>
      <w:r w:rsidRPr="00B61283">
        <w:rPr>
          <w:sz w:val="28"/>
          <w:szCs w:val="28"/>
        </w:rPr>
        <w:t xml:space="preserve"> по управлению репутацией ОАО «БПС-Сбербанк»</w:t>
      </w:r>
    </w:p>
    <w:p w:rsidR="00F208B7" w:rsidRPr="004A1CE9" w:rsidRDefault="00F208B7" w:rsidP="0046254B">
      <w:pPr>
        <w:ind w:left="-284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992B90" w:rsidRPr="0046254B" w:rsidTr="0046254B">
        <w:tc>
          <w:tcPr>
            <w:tcW w:w="3402" w:type="dxa"/>
            <w:shd w:val="clear" w:color="auto" w:fill="auto"/>
          </w:tcPr>
          <w:p w:rsidR="00992B90" w:rsidRPr="0046254B" w:rsidRDefault="00BB131F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Наименование вида процедуры закупки:</w:t>
            </w:r>
          </w:p>
        </w:tc>
        <w:tc>
          <w:tcPr>
            <w:tcW w:w="6521" w:type="dxa"/>
            <w:shd w:val="clear" w:color="auto" w:fill="auto"/>
          </w:tcPr>
          <w:p w:rsidR="00992B90" w:rsidRPr="0046254B" w:rsidRDefault="00F304B8" w:rsidP="002C1D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Процедура оформлени</w:t>
            </w:r>
            <w:r w:rsidR="00CF6967" w:rsidRPr="0046254B">
              <w:rPr>
                <w:sz w:val="26"/>
                <w:szCs w:val="26"/>
              </w:rPr>
              <w:t>я</w:t>
            </w:r>
            <w:r w:rsidRPr="0046254B">
              <w:rPr>
                <w:sz w:val="26"/>
                <w:szCs w:val="26"/>
              </w:rPr>
              <w:t xml:space="preserve"> конкурентного листа</w:t>
            </w:r>
          </w:p>
        </w:tc>
      </w:tr>
      <w:tr w:rsidR="00C249CD" w:rsidRPr="0046254B" w:rsidTr="0046254B">
        <w:tc>
          <w:tcPr>
            <w:tcW w:w="3402" w:type="dxa"/>
            <w:shd w:val="clear" w:color="auto" w:fill="auto"/>
          </w:tcPr>
          <w:p w:rsidR="00C249CD" w:rsidRPr="0046254B" w:rsidRDefault="00C249CD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Наименование и место нахождения Заказчика:</w:t>
            </w:r>
          </w:p>
        </w:tc>
        <w:tc>
          <w:tcPr>
            <w:tcW w:w="6521" w:type="dxa"/>
            <w:shd w:val="clear" w:color="auto" w:fill="auto"/>
          </w:tcPr>
          <w:p w:rsidR="00C249CD" w:rsidRPr="0046254B" w:rsidRDefault="00C249CD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ОАО «БПС-Сбербанк», </w:t>
            </w:r>
          </w:p>
          <w:p w:rsidR="00C249CD" w:rsidRPr="0046254B" w:rsidRDefault="00C249CD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г. Минск, бульвар имени Мулявина, 6 </w:t>
            </w:r>
          </w:p>
        </w:tc>
      </w:tr>
      <w:tr w:rsidR="00111EF8" w:rsidRPr="0046254B" w:rsidTr="0046254B">
        <w:tc>
          <w:tcPr>
            <w:tcW w:w="3402" w:type="dxa"/>
            <w:shd w:val="clear" w:color="auto" w:fill="auto"/>
          </w:tcPr>
          <w:p w:rsidR="00111EF8" w:rsidRPr="0046254B" w:rsidRDefault="00111EF8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Код подвида товаров в соответствии с Классификатором продукции</w:t>
            </w:r>
          </w:p>
        </w:tc>
        <w:tc>
          <w:tcPr>
            <w:tcW w:w="6521" w:type="dxa"/>
            <w:shd w:val="clear" w:color="auto" w:fill="auto"/>
          </w:tcPr>
          <w:p w:rsidR="00111EF8" w:rsidRPr="0046254B" w:rsidRDefault="00D7215B" w:rsidP="002C1D86">
            <w:pPr>
              <w:jc w:val="both"/>
              <w:rPr>
                <w:sz w:val="26"/>
                <w:szCs w:val="26"/>
                <w:highlight w:val="green"/>
              </w:rPr>
            </w:pPr>
            <w:r w:rsidRPr="00D7215B">
              <w:rPr>
                <w:sz w:val="26"/>
                <w:szCs w:val="26"/>
              </w:rPr>
              <w:t>73.20.11.000</w:t>
            </w:r>
          </w:p>
        </w:tc>
      </w:tr>
      <w:tr w:rsidR="00111EF8" w:rsidRPr="0046254B" w:rsidTr="0046254B">
        <w:trPr>
          <w:trHeight w:val="1467"/>
        </w:trPr>
        <w:tc>
          <w:tcPr>
            <w:tcW w:w="3402" w:type="dxa"/>
            <w:shd w:val="clear" w:color="auto" w:fill="auto"/>
          </w:tcPr>
          <w:p w:rsidR="00111EF8" w:rsidRPr="0046254B" w:rsidRDefault="00111EF8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Наименование подвида товаров (работ, услуг) в соответствии с Классификатором продукции</w:t>
            </w:r>
          </w:p>
        </w:tc>
        <w:tc>
          <w:tcPr>
            <w:tcW w:w="6521" w:type="dxa"/>
            <w:shd w:val="clear" w:color="auto" w:fill="auto"/>
          </w:tcPr>
          <w:p w:rsidR="00111EF8" w:rsidRPr="0046254B" w:rsidRDefault="00D7215B" w:rsidP="002C1D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7215B">
              <w:rPr>
                <w:sz w:val="26"/>
                <w:szCs w:val="26"/>
              </w:rPr>
              <w:t>слуги по проведению качественных исследований конъюнктуры рынка</w:t>
            </w:r>
          </w:p>
        </w:tc>
      </w:tr>
      <w:tr w:rsidR="00C249CD" w:rsidRPr="0046254B" w:rsidTr="0046254B">
        <w:tc>
          <w:tcPr>
            <w:tcW w:w="3402" w:type="dxa"/>
            <w:shd w:val="clear" w:color="auto" w:fill="auto"/>
          </w:tcPr>
          <w:p w:rsidR="00C249CD" w:rsidRPr="0046254B" w:rsidRDefault="00C249CD" w:rsidP="00F304B8">
            <w:pPr>
              <w:jc w:val="both"/>
              <w:rPr>
                <w:sz w:val="26"/>
                <w:szCs w:val="26"/>
                <w:lang w:val="en-US"/>
              </w:rPr>
            </w:pPr>
            <w:r w:rsidRPr="0046254B">
              <w:rPr>
                <w:sz w:val="26"/>
                <w:szCs w:val="26"/>
              </w:rPr>
              <w:t>Предмет закупки</w:t>
            </w:r>
            <w:r w:rsidRPr="0046254B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E0682E" w:rsidRPr="0046254B" w:rsidRDefault="00D7215B" w:rsidP="002D5F4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7215B">
              <w:rPr>
                <w:sz w:val="26"/>
                <w:szCs w:val="26"/>
              </w:rPr>
              <w:t>слуги по управлению репутацией ОАО «БПС-Сбербанк»</w:t>
            </w:r>
            <w:r w:rsidR="0062220F" w:rsidRPr="0046254B">
              <w:rPr>
                <w:sz w:val="26"/>
                <w:szCs w:val="26"/>
              </w:rPr>
              <w:t xml:space="preserve"> в соответствии </w:t>
            </w:r>
            <w:r>
              <w:rPr>
                <w:sz w:val="26"/>
                <w:szCs w:val="26"/>
              </w:rPr>
              <w:t>с</w:t>
            </w:r>
            <w:r w:rsidR="002D5F43">
              <w:rPr>
                <w:sz w:val="26"/>
                <w:szCs w:val="26"/>
              </w:rPr>
              <w:t xml:space="preserve"> Приложением</w:t>
            </w:r>
            <w:r>
              <w:rPr>
                <w:sz w:val="26"/>
                <w:szCs w:val="26"/>
              </w:rPr>
              <w:t xml:space="preserve"> № 1 к Приглашению </w:t>
            </w:r>
          </w:p>
        </w:tc>
      </w:tr>
      <w:tr w:rsidR="006866C2" w:rsidRPr="0046254B" w:rsidTr="0046254B">
        <w:tc>
          <w:tcPr>
            <w:tcW w:w="3402" w:type="dxa"/>
            <w:shd w:val="clear" w:color="auto" w:fill="auto"/>
          </w:tcPr>
          <w:p w:rsidR="006866C2" w:rsidRPr="0046254B" w:rsidRDefault="006866C2" w:rsidP="006866C2">
            <w:pPr>
              <w:jc w:val="both"/>
              <w:rPr>
                <w:sz w:val="26"/>
                <w:szCs w:val="26"/>
              </w:rPr>
            </w:pPr>
            <w:r w:rsidRPr="0046254B">
              <w:rPr>
                <w:bCs/>
                <w:sz w:val="26"/>
                <w:szCs w:val="26"/>
              </w:rPr>
              <w:t>Ориентировочный объем закупки</w:t>
            </w:r>
          </w:p>
        </w:tc>
        <w:tc>
          <w:tcPr>
            <w:tcW w:w="6521" w:type="dxa"/>
            <w:shd w:val="clear" w:color="auto" w:fill="auto"/>
          </w:tcPr>
          <w:p w:rsidR="00560696" w:rsidRPr="0046254B" w:rsidRDefault="002C1D86" w:rsidP="00D721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2220F" w:rsidRPr="0046254B">
              <w:rPr>
                <w:sz w:val="26"/>
                <w:szCs w:val="26"/>
              </w:rPr>
              <w:t xml:space="preserve">огласно </w:t>
            </w:r>
            <w:r w:rsidR="00D7215B">
              <w:rPr>
                <w:sz w:val="26"/>
                <w:szCs w:val="26"/>
              </w:rPr>
              <w:t>Приложению</w:t>
            </w:r>
            <w:r w:rsidR="0062220F" w:rsidRPr="0046254B">
              <w:rPr>
                <w:sz w:val="26"/>
                <w:szCs w:val="26"/>
              </w:rPr>
              <w:t xml:space="preserve"> №</w:t>
            </w:r>
            <w:r w:rsidR="00DB4993">
              <w:rPr>
                <w:sz w:val="26"/>
                <w:szCs w:val="26"/>
              </w:rPr>
              <w:t xml:space="preserve"> </w:t>
            </w:r>
            <w:r w:rsidR="0062220F" w:rsidRPr="0046254B">
              <w:rPr>
                <w:sz w:val="26"/>
                <w:szCs w:val="26"/>
              </w:rPr>
              <w:t xml:space="preserve">1 к </w:t>
            </w:r>
            <w:r w:rsidR="00D7215B">
              <w:rPr>
                <w:sz w:val="26"/>
                <w:szCs w:val="26"/>
              </w:rPr>
              <w:t>Приглашению</w:t>
            </w:r>
          </w:p>
        </w:tc>
      </w:tr>
      <w:tr w:rsidR="00DC41C2" w:rsidRPr="0046254B" w:rsidTr="0046254B">
        <w:tc>
          <w:tcPr>
            <w:tcW w:w="3402" w:type="dxa"/>
            <w:shd w:val="clear" w:color="auto" w:fill="auto"/>
          </w:tcPr>
          <w:p w:rsidR="00DC41C2" w:rsidRPr="0046254B" w:rsidRDefault="002B7895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Ориентировочная стоимость предмета закупки</w:t>
            </w:r>
          </w:p>
        </w:tc>
        <w:tc>
          <w:tcPr>
            <w:tcW w:w="6521" w:type="dxa"/>
            <w:shd w:val="clear" w:color="auto" w:fill="auto"/>
          </w:tcPr>
          <w:p w:rsidR="00DC41C2" w:rsidRPr="0046254B" w:rsidRDefault="00D7215B" w:rsidP="002C1D8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  <w:r w:rsidR="0046254B" w:rsidRPr="0046254B">
              <w:rPr>
                <w:b/>
                <w:sz w:val="26"/>
                <w:szCs w:val="26"/>
              </w:rPr>
              <w:t xml:space="preserve"> </w:t>
            </w:r>
            <w:r w:rsidR="00AE696A" w:rsidRPr="0046254B">
              <w:rPr>
                <w:b/>
                <w:sz w:val="26"/>
                <w:szCs w:val="26"/>
              </w:rPr>
              <w:t>00</w:t>
            </w:r>
            <w:r w:rsidR="008106E5" w:rsidRPr="0046254B">
              <w:rPr>
                <w:b/>
                <w:sz w:val="26"/>
                <w:szCs w:val="26"/>
              </w:rPr>
              <w:t>0,00</w:t>
            </w:r>
            <w:r w:rsidR="00DC41C2" w:rsidRPr="0046254B">
              <w:rPr>
                <w:b/>
                <w:sz w:val="26"/>
                <w:szCs w:val="26"/>
              </w:rPr>
              <w:t xml:space="preserve"> </w:t>
            </w:r>
            <w:r w:rsidR="00DC41C2" w:rsidRPr="0046254B">
              <w:rPr>
                <w:b/>
                <w:sz w:val="26"/>
                <w:szCs w:val="26"/>
                <w:lang w:val="en-US"/>
              </w:rPr>
              <w:t>BYN</w:t>
            </w:r>
          </w:p>
          <w:p w:rsidR="00DC41C2" w:rsidRPr="0046254B" w:rsidRDefault="00DC41C2" w:rsidP="002C1D86">
            <w:pPr>
              <w:jc w:val="both"/>
              <w:rPr>
                <w:i/>
                <w:sz w:val="26"/>
                <w:szCs w:val="26"/>
              </w:rPr>
            </w:pPr>
            <w:r w:rsidRPr="0046254B">
              <w:rPr>
                <w:i/>
                <w:sz w:val="26"/>
                <w:szCs w:val="26"/>
              </w:rPr>
              <w:t xml:space="preserve">Ориентировочная </w:t>
            </w:r>
            <w:r w:rsidR="002B7895" w:rsidRPr="0046254B">
              <w:rPr>
                <w:i/>
                <w:sz w:val="26"/>
                <w:szCs w:val="26"/>
              </w:rPr>
              <w:t xml:space="preserve">стоимость предмета закупки  </w:t>
            </w:r>
            <w:r w:rsidRPr="0046254B">
              <w:rPr>
                <w:i/>
                <w:sz w:val="26"/>
                <w:szCs w:val="26"/>
              </w:rPr>
              <w:t xml:space="preserve"> является предельной максимальной и может быть снижена участником</w:t>
            </w:r>
          </w:p>
        </w:tc>
      </w:tr>
      <w:tr w:rsidR="00992B90" w:rsidRPr="0046254B" w:rsidTr="0046254B">
        <w:tc>
          <w:tcPr>
            <w:tcW w:w="3402" w:type="dxa"/>
            <w:shd w:val="clear" w:color="auto" w:fill="auto"/>
            <w:vAlign w:val="center"/>
          </w:tcPr>
          <w:p w:rsidR="00992B90" w:rsidRPr="0046254B" w:rsidRDefault="00992B9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Наличие финансового источника:</w:t>
            </w:r>
          </w:p>
        </w:tc>
        <w:tc>
          <w:tcPr>
            <w:tcW w:w="6521" w:type="dxa"/>
            <w:shd w:val="clear" w:color="auto" w:fill="auto"/>
          </w:tcPr>
          <w:p w:rsidR="00992B90" w:rsidRPr="0046254B" w:rsidRDefault="0062220F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</w:t>
            </w:r>
            <w:r w:rsidR="00C249CD" w:rsidRPr="0046254B">
              <w:rPr>
                <w:sz w:val="26"/>
                <w:szCs w:val="26"/>
              </w:rPr>
              <w:t>обственные средства Банка</w:t>
            </w:r>
          </w:p>
        </w:tc>
      </w:tr>
      <w:tr w:rsidR="009269C9" w:rsidRPr="0046254B" w:rsidTr="0046254B">
        <w:tc>
          <w:tcPr>
            <w:tcW w:w="3402" w:type="dxa"/>
            <w:shd w:val="clear" w:color="auto" w:fill="auto"/>
            <w:vAlign w:val="center"/>
          </w:tcPr>
          <w:p w:rsidR="009269C9" w:rsidRPr="0046254B" w:rsidRDefault="009269C9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Требование к участникам:</w:t>
            </w:r>
          </w:p>
        </w:tc>
        <w:tc>
          <w:tcPr>
            <w:tcW w:w="6521" w:type="dxa"/>
            <w:shd w:val="clear" w:color="auto" w:fill="auto"/>
          </w:tcPr>
          <w:p w:rsidR="00B76BD2" w:rsidRPr="0046254B" w:rsidRDefault="00B76BD2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К участию в процедуре закупке допускаются юридические </w:t>
            </w:r>
            <w:r w:rsidR="00D7215B">
              <w:rPr>
                <w:sz w:val="26"/>
                <w:szCs w:val="26"/>
              </w:rPr>
              <w:t>лица</w:t>
            </w:r>
            <w:r w:rsidRPr="0046254B">
              <w:rPr>
                <w:sz w:val="26"/>
                <w:szCs w:val="26"/>
              </w:rPr>
              <w:t xml:space="preserve"> – резиденты и нерезиденты Республики Беларусь</w:t>
            </w:r>
            <w:r w:rsidR="00006FF4">
              <w:rPr>
                <w:sz w:val="26"/>
                <w:szCs w:val="26"/>
              </w:rPr>
              <w:t>, соответствующие квалификационным требованиям</w:t>
            </w:r>
            <w:r w:rsidRPr="0046254B">
              <w:rPr>
                <w:sz w:val="26"/>
                <w:szCs w:val="26"/>
              </w:rPr>
              <w:t xml:space="preserve">. </w:t>
            </w:r>
          </w:p>
          <w:p w:rsidR="00B76BD2" w:rsidRPr="0046254B" w:rsidRDefault="00B76BD2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 участию в процедуре закупке не допускаются:</w:t>
            </w:r>
          </w:p>
          <w:p w:rsidR="00B76BD2" w:rsidRPr="0046254B" w:rsidRDefault="00B76BD2" w:rsidP="002C1D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6254B">
              <w:rPr>
                <w:rFonts w:eastAsiaTheme="minorHAnsi"/>
                <w:sz w:val="26"/>
                <w:szCs w:val="26"/>
                <w:lang w:eastAsia="en-US"/>
              </w:rPr>
              <w:t>- юридическое лицо, находящееся в процессе ликвидации, реорганизации (за исключением юридического лица, к которому присоединяется другое юридическое лицо), индивидуальный предприниматель, находящийся в процессе прекращения деятельности;</w:t>
            </w:r>
          </w:p>
          <w:p w:rsidR="00B76BD2" w:rsidRPr="0046254B" w:rsidRDefault="00B76BD2" w:rsidP="002C1D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6254B">
              <w:rPr>
                <w:rFonts w:eastAsiaTheme="minorHAnsi"/>
                <w:sz w:val="26"/>
                <w:szCs w:val="26"/>
                <w:lang w:eastAsia="en-US"/>
              </w:rPr>
              <w:t>- юридическое лицо, в отношении которого возбуждено производство по делу об экономической несостоятельности (банкротстве). Данное требование не распространяется на юридическое лицо, находящихся в процедуре экономической несостоятельности (банкротства), применяемой в целях восстановления платежеспособности (санации);</w:t>
            </w:r>
          </w:p>
          <w:p w:rsidR="00B76BD2" w:rsidRPr="0046254B" w:rsidRDefault="00B76BD2" w:rsidP="002C1D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6254B">
              <w:rPr>
                <w:rFonts w:eastAsiaTheme="minorHAnsi"/>
                <w:sz w:val="26"/>
                <w:szCs w:val="26"/>
                <w:lang w:eastAsia="en-US"/>
              </w:rPr>
              <w:t xml:space="preserve">- юридическое лицо при наличии неснятой или непогашенной судимости у руководителя данного юридического лица (лица, уполномоченного на заключение договора на приобретение Банком предмета </w:t>
            </w:r>
            <w:r w:rsidRPr="004625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закупки), а равно при наличии в отношении их возбужденного уголовного дела;</w:t>
            </w:r>
          </w:p>
          <w:p w:rsidR="00B76BD2" w:rsidRPr="0046254B" w:rsidRDefault="00B76BD2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rFonts w:eastAsiaTheme="minorHAnsi"/>
                <w:sz w:val="26"/>
                <w:szCs w:val="26"/>
                <w:lang w:eastAsia="en-US"/>
              </w:rPr>
              <w:t>- юридическое лицо</w:t>
            </w:r>
            <w:r w:rsidR="009B337D">
              <w:rPr>
                <w:rFonts w:eastAsiaTheme="minorHAnsi"/>
                <w:sz w:val="26"/>
                <w:szCs w:val="26"/>
                <w:lang w:eastAsia="en-US"/>
              </w:rPr>
              <w:t>, представившее</w:t>
            </w:r>
            <w:r w:rsidRPr="0046254B">
              <w:rPr>
                <w:rFonts w:eastAsiaTheme="minorHAnsi"/>
                <w:sz w:val="26"/>
                <w:szCs w:val="26"/>
                <w:lang w:eastAsia="en-US"/>
              </w:rPr>
              <w:t xml:space="preserve"> недостоверную информацию о себе;</w:t>
            </w:r>
          </w:p>
          <w:p w:rsidR="008B36CB" w:rsidRPr="0046254B" w:rsidRDefault="00B76BD2" w:rsidP="002C1D86">
            <w:pPr>
              <w:pStyle w:val="ConsPlusNormal"/>
              <w:widowControl w:val="0"/>
              <w:tabs>
                <w:tab w:val="left" w:pos="1134"/>
              </w:tabs>
              <w:spacing w:line="235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54B">
              <w:rPr>
                <w:rFonts w:ascii="Times New Roman" w:hAnsi="Times New Roman" w:cs="Times New Roman"/>
                <w:sz w:val="26"/>
                <w:szCs w:val="26"/>
              </w:rPr>
              <w:t>- юридические лица, имеющие задолженность по налогам, сборам (пошлинам), пеням в республиканский и местные бюджеты, бюджеты государственных внебюджетных фондов продолжительностью свыше 60 календарных дней.</w:t>
            </w:r>
          </w:p>
        </w:tc>
      </w:tr>
      <w:tr w:rsidR="0062220F" w:rsidRPr="0046254B" w:rsidTr="0046254B">
        <w:tc>
          <w:tcPr>
            <w:tcW w:w="3402" w:type="dxa"/>
            <w:shd w:val="clear" w:color="auto" w:fill="auto"/>
            <w:vAlign w:val="center"/>
          </w:tcPr>
          <w:p w:rsidR="0062220F" w:rsidRPr="0046254B" w:rsidRDefault="00006FF4" w:rsidP="00F30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Квалификационные требования к участнику и документы, подтверждающие соответствие квалификационным требованиям</w:t>
            </w:r>
          </w:p>
        </w:tc>
        <w:tc>
          <w:tcPr>
            <w:tcW w:w="6521" w:type="dxa"/>
            <w:shd w:val="clear" w:color="auto" w:fill="auto"/>
          </w:tcPr>
          <w:p w:rsidR="00943BC7" w:rsidRPr="00943BC7" w:rsidRDefault="00943BC7" w:rsidP="00943BC7">
            <w:pPr>
              <w:jc w:val="both"/>
              <w:rPr>
                <w:sz w:val="26"/>
                <w:szCs w:val="26"/>
              </w:rPr>
            </w:pPr>
            <w:r w:rsidRPr="00943BC7">
              <w:rPr>
                <w:sz w:val="26"/>
                <w:szCs w:val="26"/>
              </w:rPr>
              <w:t>1) Предоставление персонального менеджера (подтверждается письменным заявлением Участника о том, что в случае признания его победителем данной закупки и заключения с Заказчиком соответствующего договора он обязуется выделить персонального менеджера);</w:t>
            </w:r>
          </w:p>
          <w:p w:rsidR="00943BC7" w:rsidRPr="00943BC7" w:rsidRDefault="00943BC7" w:rsidP="00943BC7">
            <w:pPr>
              <w:jc w:val="both"/>
              <w:rPr>
                <w:sz w:val="26"/>
                <w:szCs w:val="26"/>
              </w:rPr>
            </w:pPr>
            <w:r w:rsidRPr="00943BC7">
              <w:rPr>
                <w:sz w:val="26"/>
                <w:szCs w:val="26"/>
              </w:rPr>
              <w:t>2) Опыт работы Участника по управлению репутацией – не менее 2-х лет (подтверждается перечнем заключенных договоров с организациями по аналогичному предмету закупки с подписью руководителя и печатью);</w:t>
            </w:r>
          </w:p>
          <w:p w:rsidR="00943BC7" w:rsidRPr="00943BC7" w:rsidRDefault="00943BC7" w:rsidP="00943BC7">
            <w:pPr>
              <w:jc w:val="both"/>
              <w:rPr>
                <w:sz w:val="26"/>
                <w:szCs w:val="26"/>
              </w:rPr>
            </w:pPr>
            <w:r w:rsidRPr="00943BC7">
              <w:rPr>
                <w:sz w:val="26"/>
                <w:szCs w:val="26"/>
              </w:rPr>
              <w:t>3) Предоставление презентации компании Участника в формате PDF;</w:t>
            </w:r>
          </w:p>
          <w:p w:rsidR="00006FF4" w:rsidRPr="0046254B" w:rsidRDefault="00943BC7" w:rsidP="006B6932">
            <w:pPr>
              <w:jc w:val="both"/>
              <w:rPr>
                <w:sz w:val="26"/>
                <w:szCs w:val="26"/>
              </w:rPr>
            </w:pPr>
            <w:r w:rsidRPr="00943BC7">
              <w:rPr>
                <w:sz w:val="26"/>
                <w:szCs w:val="26"/>
              </w:rPr>
              <w:t xml:space="preserve">4) Возможность ежедневного мониторинга социальных медиа и СМИ, ежемесячного анализа и мониторинга до 5 конкурентов (подтверждается предоставлением заявления о наличии системы сканирования интернет-пространства для мониторинга </w:t>
            </w:r>
            <w:r w:rsidR="00FC4304">
              <w:rPr>
                <w:sz w:val="26"/>
                <w:szCs w:val="26"/>
              </w:rPr>
              <w:t>социальных медиа и СМИ, подпиской</w:t>
            </w:r>
            <w:r w:rsidRPr="00943BC7">
              <w:rPr>
                <w:sz w:val="26"/>
                <w:szCs w:val="26"/>
              </w:rPr>
              <w:t xml:space="preserve"> или скриншот</w:t>
            </w:r>
            <w:r w:rsidR="0090689B">
              <w:rPr>
                <w:sz w:val="26"/>
                <w:szCs w:val="26"/>
              </w:rPr>
              <w:t>ом</w:t>
            </w:r>
            <w:r w:rsidR="006B6932">
              <w:rPr>
                <w:sz w:val="26"/>
                <w:szCs w:val="26"/>
              </w:rPr>
              <w:t xml:space="preserve"> установленного ПО).</w:t>
            </w:r>
          </w:p>
        </w:tc>
      </w:tr>
      <w:tr w:rsidR="002C1D86" w:rsidRPr="0046254B" w:rsidTr="0046254B">
        <w:tc>
          <w:tcPr>
            <w:tcW w:w="3402" w:type="dxa"/>
            <w:shd w:val="clear" w:color="auto" w:fill="auto"/>
            <w:vAlign w:val="center"/>
          </w:tcPr>
          <w:p w:rsidR="002C1D86" w:rsidRPr="0046254B" w:rsidRDefault="00B971A1" w:rsidP="00F30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Обязательные условия договора</w:t>
            </w:r>
          </w:p>
        </w:tc>
        <w:tc>
          <w:tcPr>
            <w:tcW w:w="6521" w:type="dxa"/>
            <w:shd w:val="clear" w:color="auto" w:fill="auto"/>
          </w:tcPr>
          <w:p w:rsidR="002C1D86" w:rsidRPr="0046254B" w:rsidRDefault="002C1D86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срок и условия предоставления услуг</w:t>
            </w:r>
            <w:r>
              <w:rPr>
                <w:sz w:val="26"/>
                <w:szCs w:val="26"/>
              </w:rPr>
              <w:t xml:space="preserve">, </w:t>
            </w:r>
            <w:r w:rsidR="0025217C">
              <w:rPr>
                <w:sz w:val="26"/>
                <w:szCs w:val="26"/>
              </w:rPr>
              <w:t>условия оплаты</w:t>
            </w:r>
            <w:r w:rsidRPr="0046254B">
              <w:rPr>
                <w:sz w:val="26"/>
                <w:szCs w:val="26"/>
              </w:rPr>
              <w:t xml:space="preserve"> в соответствии с требованиям</w:t>
            </w:r>
            <w:r>
              <w:rPr>
                <w:sz w:val="26"/>
                <w:szCs w:val="26"/>
              </w:rPr>
              <w:t xml:space="preserve">и настоящих документов, </w:t>
            </w:r>
            <w:r w:rsidRPr="0046254B">
              <w:rPr>
                <w:sz w:val="26"/>
                <w:szCs w:val="26"/>
              </w:rPr>
              <w:t xml:space="preserve">меры ответственности </w:t>
            </w:r>
            <w:r w:rsidR="00B971A1">
              <w:rPr>
                <w:sz w:val="26"/>
                <w:szCs w:val="26"/>
              </w:rPr>
              <w:t>за их неисполнение договора, антикорупционная оговорка</w:t>
            </w:r>
            <w:r w:rsidR="00EE7B82">
              <w:rPr>
                <w:sz w:val="26"/>
                <w:szCs w:val="26"/>
              </w:rPr>
              <w:t xml:space="preserve"> согласно Приложению № 4</w:t>
            </w:r>
            <w:r w:rsidR="00A9677C">
              <w:rPr>
                <w:sz w:val="26"/>
                <w:szCs w:val="26"/>
              </w:rPr>
              <w:t xml:space="preserve"> к Приглашению</w:t>
            </w:r>
          </w:p>
        </w:tc>
      </w:tr>
      <w:tr w:rsidR="00ED3C55" w:rsidRPr="0046254B" w:rsidTr="0046254B">
        <w:tc>
          <w:tcPr>
            <w:tcW w:w="3402" w:type="dxa"/>
            <w:shd w:val="clear" w:color="auto" w:fill="auto"/>
            <w:vAlign w:val="center"/>
          </w:tcPr>
          <w:p w:rsidR="00ED3C55" w:rsidRPr="0046254B" w:rsidRDefault="00ED3C55" w:rsidP="00A9677C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Срок </w:t>
            </w:r>
            <w:r w:rsidR="00A9677C">
              <w:rPr>
                <w:sz w:val="26"/>
                <w:szCs w:val="26"/>
              </w:rPr>
              <w:t>оказания услуг</w:t>
            </w:r>
          </w:p>
        </w:tc>
        <w:tc>
          <w:tcPr>
            <w:tcW w:w="6521" w:type="dxa"/>
            <w:shd w:val="clear" w:color="auto" w:fill="auto"/>
          </w:tcPr>
          <w:p w:rsidR="00A9677C" w:rsidRPr="0046254B" w:rsidRDefault="00A9677C" w:rsidP="002C1D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Ориентировочный срок оказания услуг: с 01.02.2021 по 31.01.2022</w:t>
            </w:r>
          </w:p>
        </w:tc>
      </w:tr>
      <w:tr w:rsidR="00C249CD" w:rsidRPr="0046254B" w:rsidTr="0046254B">
        <w:tc>
          <w:tcPr>
            <w:tcW w:w="3402" w:type="dxa"/>
            <w:shd w:val="clear" w:color="auto" w:fill="auto"/>
            <w:vAlign w:val="center"/>
          </w:tcPr>
          <w:p w:rsidR="00C249CD" w:rsidRPr="0046254B" w:rsidRDefault="00C249CD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Критерии</w:t>
            </w:r>
            <w:r w:rsidR="00FD4265" w:rsidRPr="0046254B">
              <w:rPr>
                <w:sz w:val="26"/>
                <w:szCs w:val="26"/>
              </w:rPr>
              <w:t xml:space="preserve"> и способ</w:t>
            </w:r>
            <w:r w:rsidRPr="0046254B">
              <w:rPr>
                <w:sz w:val="26"/>
                <w:szCs w:val="26"/>
              </w:rPr>
              <w:t xml:space="preserve"> оценки участников</w:t>
            </w:r>
            <w:r w:rsidR="0088322C" w:rsidRPr="0046254B">
              <w:rPr>
                <w:sz w:val="26"/>
                <w:szCs w:val="26"/>
              </w:rPr>
              <w:t xml:space="preserve"> процедуры закупки</w:t>
            </w:r>
            <w:r w:rsidRPr="0046254B">
              <w:rPr>
                <w:sz w:val="26"/>
                <w:szCs w:val="26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A9677C" w:rsidRDefault="007045CD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Победителем признается участник, предложивший н</w:t>
            </w:r>
            <w:r w:rsidR="008B4383" w:rsidRPr="0046254B">
              <w:rPr>
                <w:sz w:val="26"/>
                <w:szCs w:val="26"/>
              </w:rPr>
              <w:t xml:space="preserve">аименьшую цену предмета закупки при условии </w:t>
            </w:r>
            <w:r w:rsidR="00116E8D" w:rsidRPr="0046254B">
              <w:rPr>
                <w:sz w:val="26"/>
                <w:szCs w:val="26"/>
              </w:rPr>
              <w:t xml:space="preserve">его соответствия </w:t>
            </w:r>
            <w:r w:rsidR="0062220F" w:rsidRPr="0046254B">
              <w:rPr>
                <w:sz w:val="26"/>
                <w:szCs w:val="26"/>
              </w:rPr>
              <w:t xml:space="preserve">в настоящих документах требованиям Заказчика. </w:t>
            </w:r>
          </w:p>
          <w:p w:rsidR="004A1CE9" w:rsidRPr="0046254B" w:rsidRDefault="00FE5585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Сумма расходов Заказчика на приобретение предмета закупки (с учетом любых налогов, сборов и платежей, в том числе предусмотренных законодательством Республики Беларусь) не должна превысить </w:t>
            </w:r>
            <w:r w:rsidR="00350D1A" w:rsidRPr="0046254B">
              <w:rPr>
                <w:sz w:val="26"/>
                <w:szCs w:val="26"/>
              </w:rPr>
              <w:t xml:space="preserve">ориентировочную </w:t>
            </w:r>
            <w:r w:rsidRPr="0046254B">
              <w:rPr>
                <w:sz w:val="26"/>
                <w:szCs w:val="26"/>
              </w:rPr>
              <w:t>стоимость</w:t>
            </w:r>
            <w:r w:rsidR="00350D1A" w:rsidRPr="0046254B">
              <w:rPr>
                <w:sz w:val="26"/>
                <w:szCs w:val="26"/>
              </w:rPr>
              <w:t xml:space="preserve"> предмета закупки</w:t>
            </w:r>
            <w:r w:rsidRPr="0046254B">
              <w:rPr>
                <w:sz w:val="26"/>
                <w:szCs w:val="26"/>
              </w:rPr>
              <w:t>, у</w:t>
            </w:r>
            <w:r w:rsidR="00350D1A" w:rsidRPr="0046254B">
              <w:rPr>
                <w:sz w:val="26"/>
                <w:szCs w:val="26"/>
              </w:rPr>
              <w:t>казанную в коммерческом</w:t>
            </w:r>
            <w:r w:rsidRPr="0046254B">
              <w:rPr>
                <w:sz w:val="26"/>
                <w:szCs w:val="26"/>
              </w:rPr>
              <w:t xml:space="preserve"> предложении </w:t>
            </w:r>
            <w:r w:rsidR="00350D1A" w:rsidRPr="0046254B">
              <w:rPr>
                <w:sz w:val="26"/>
                <w:szCs w:val="26"/>
              </w:rPr>
              <w:t>У</w:t>
            </w:r>
            <w:r w:rsidRPr="0046254B">
              <w:rPr>
                <w:sz w:val="26"/>
                <w:szCs w:val="26"/>
              </w:rPr>
              <w:t xml:space="preserve">частника. Указанные в коммерческом предложении цены являются окончательными. </w:t>
            </w:r>
          </w:p>
          <w:p w:rsidR="007369AE" w:rsidRPr="0046254B" w:rsidRDefault="00FE5585" w:rsidP="002C1D86">
            <w:pPr>
              <w:pStyle w:val="ad"/>
              <w:spacing w:after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Изменение стоимости предмета закупки, </w:t>
            </w:r>
            <w:r w:rsidR="00350D1A" w:rsidRPr="0046254B">
              <w:rPr>
                <w:sz w:val="26"/>
                <w:szCs w:val="26"/>
              </w:rPr>
              <w:t xml:space="preserve">указанной в коммерческом </w:t>
            </w:r>
            <w:r w:rsidRPr="0046254B">
              <w:rPr>
                <w:sz w:val="26"/>
                <w:szCs w:val="26"/>
              </w:rPr>
              <w:t xml:space="preserve">предложении, возможно только при </w:t>
            </w:r>
            <w:r w:rsidRPr="0046254B">
              <w:rPr>
                <w:sz w:val="26"/>
                <w:szCs w:val="26"/>
              </w:rPr>
              <w:lastRenderedPageBreak/>
              <w:t>проведении переговоров по снижению цены.</w:t>
            </w:r>
          </w:p>
        </w:tc>
      </w:tr>
      <w:tr w:rsidR="00004EE8" w:rsidRPr="0046254B" w:rsidTr="0046254B">
        <w:tc>
          <w:tcPr>
            <w:tcW w:w="3402" w:type="dxa"/>
            <w:shd w:val="clear" w:color="auto" w:fill="auto"/>
            <w:vAlign w:val="center"/>
          </w:tcPr>
          <w:p w:rsidR="00004EE8" w:rsidRPr="0046254B" w:rsidRDefault="00004EE8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lastRenderedPageBreak/>
              <w:t>Обязательные условия к предоставлению коммерческого предложения:</w:t>
            </w:r>
          </w:p>
        </w:tc>
        <w:tc>
          <w:tcPr>
            <w:tcW w:w="6521" w:type="dxa"/>
            <w:shd w:val="clear" w:color="auto" w:fill="auto"/>
          </w:tcPr>
          <w:p w:rsidR="00681A41" w:rsidRPr="0046254B" w:rsidRDefault="00681A41" w:rsidP="00681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Участник представляет коммерческое предложение по предмету закупки </w:t>
            </w:r>
            <w:r w:rsidR="004875D4" w:rsidRPr="0046254B">
              <w:rPr>
                <w:sz w:val="26"/>
                <w:szCs w:val="26"/>
              </w:rPr>
              <w:t xml:space="preserve">в белорусских рублях в BYN с НДС </w:t>
            </w:r>
            <w:r w:rsidR="00EE7B82">
              <w:rPr>
                <w:sz w:val="26"/>
                <w:szCs w:val="26"/>
              </w:rPr>
              <w:t>по форме,</w:t>
            </w:r>
            <w:r w:rsidR="004875D4" w:rsidRPr="0046254B">
              <w:rPr>
                <w:sz w:val="26"/>
                <w:szCs w:val="26"/>
              </w:rPr>
              <w:t xml:space="preserve"> указа</w:t>
            </w:r>
            <w:r w:rsidR="00EE7B82">
              <w:rPr>
                <w:sz w:val="26"/>
                <w:szCs w:val="26"/>
              </w:rPr>
              <w:t>нной в Приложении</w:t>
            </w:r>
            <w:r w:rsidR="004875D4" w:rsidRPr="0046254B">
              <w:rPr>
                <w:sz w:val="26"/>
                <w:szCs w:val="26"/>
              </w:rPr>
              <w:t xml:space="preserve"> №1 к Приглашению</w:t>
            </w:r>
            <w:r w:rsidRPr="0046254B">
              <w:rPr>
                <w:sz w:val="26"/>
                <w:szCs w:val="26"/>
              </w:rPr>
              <w:t>.</w:t>
            </w:r>
          </w:p>
          <w:p w:rsidR="00DE3EC9" w:rsidRPr="0046254B" w:rsidRDefault="00681A41" w:rsidP="00DE3EC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 </w:t>
            </w:r>
            <w:r w:rsidRPr="0046254B">
              <w:rPr>
                <w:i/>
                <w:sz w:val="26"/>
                <w:szCs w:val="26"/>
              </w:rPr>
              <w:t>Не допускается предоставление коммерческого предложения с</w:t>
            </w:r>
            <w:r w:rsidR="00DE3EC9" w:rsidRPr="0046254B">
              <w:rPr>
                <w:i/>
                <w:sz w:val="26"/>
                <w:szCs w:val="26"/>
              </w:rPr>
              <w:t xml:space="preserve"> указанием диапазонов стоимости.</w:t>
            </w:r>
          </w:p>
          <w:p w:rsidR="00F208B7" w:rsidRPr="0046254B" w:rsidRDefault="00681A41" w:rsidP="00B0175D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Если в коммерческом предложении участника указаны не все позиции, то такое предложение отклоняется как несоответствующее требованиям документов процедуры закупки</w:t>
            </w:r>
            <w:r w:rsidRPr="0046254B">
              <w:rPr>
                <w:i/>
                <w:sz w:val="26"/>
                <w:szCs w:val="26"/>
              </w:rPr>
              <w:t>.</w:t>
            </w:r>
            <w:r w:rsidR="00214AF3" w:rsidRPr="0046254B">
              <w:rPr>
                <w:sz w:val="26"/>
                <w:szCs w:val="26"/>
              </w:rPr>
              <w:t xml:space="preserve"> </w:t>
            </w:r>
          </w:p>
        </w:tc>
      </w:tr>
      <w:tr w:rsidR="00E115C5" w:rsidRPr="0046254B" w:rsidTr="0046254B">
        <w:tc>
          <w:tcPr>
            <w:tcW w:w="3402" w:type="dxa"/>
            <w:shd w:val="clear" w:color="auto" w:fill="auto"/>
            <w:vAlign w:val="center"/>
          </w:tcPr>
          <w:p w:rsidR="0067192F" w:rsidRPr="0046254B" w:rsidRDefault="0067192F" w:rsidP="00F304B8">
            <w:pPr>
              <w:rPr>
                <w:sz w:val="26"/>
                <w:szCs w:val="26"/>
              </w:rPr>
            </w:pPr>
          </w:p>
          <w:p w:rsidR="00E115C5" w:rsidRPr="0046254B" w:rsidRDefault="0067192F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Т</w:t>
            </w:r>
            <w:r w:rsidR="00E115C5" w:rsidRPr="0046254B">
              <w:rPr>
                <w:sz w:val="26"/>
                <w:szCs w:val="26"/>
              </w:rPr>
              <w:t>ребования Заказчика</w:t>
            </w:r>
            <w:r w:rsidRPr="0046254B">
              <w:rPr>
                <w:sz w:val="26"/>
                <w:szCs w:val="26"/>
              </w:rPr>
              <w:t xml:space="preserve"> к оформлению коммерческого предложения</w:t>
            </w:r>
            <w:r w:rsidR="00DE3EC9" w:rsidRPr="0046254B">
              <w:rPr>
                <w:sz w:val="26"/>
                <w:szCs w:val="26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681A41" w:rsidRPr="0046254B" w:rsidRDefault="00681A41" w:rsidP="00681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b/>
                <w:sz w:val="26"/>
                <w:szCs w:val="26"/>
              </w:rPr>
              <w:t>Коммерческое предложение</w:t>
            </w:r>
            <w:r w:rsidRPr="0046254B">
              <w:rPr>
                <w:sz w:val="26"/>
                <w:szCs w:val="26"/>
              </w:rPr>
              <w:t xml:space="preserve"> должно быть представлено на фирменном бланке участника и содержать: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полное наименование участника - для юридического лица;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сфера деятельности участника;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УНП и т.п. сведения участника;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юридический адрес участника, его почтовый адрес (в случае если он не совпадает с юридическим адресом);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должность, фамилию, имя, о</w:t>
            </w:r>
            <w:r w:rsidR="00A9677C">
              <w:rPr>
                <w:sz w:val="26"/>
                <w:szCs w:val="26"/>
              </w:rPr>
              <w:t xml:space="preserve">тчество (если таковое имеется) </w:t>
            </w:r>
            <w:r w:rsidRPr="0046254B">
              <w:rPr>
                <w:sz w:val="26"/>
                <w:szCs w:val="26"/>
              </w:rPr>
              <w:t>руководителя (либо уполномоченного на подписание коммерческого предложения (договора) лица), с приложением в случае необходимости документа, подтверждающего данные полномочия;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фамилию, имя и отчество (если таковое имеется) контактного лица (при наличии);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адрес электронной почты (при наличии);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номер телефона участника;</w:t>
            </w:r>
          </w:p>
          <w:p w:rsidR="00681A41" w:rsidRPr="0046254B" w:rsidRDefault="004875D4" w:rsidP="00CD63B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стоимость </w:t>
            </w:r>
            <w:r w:rsidR="00EE7B82">
              <w:rPr>
                <w:sz w:val="26"/>
                <w:szCs w:val="26"/>
              </w:rPr>
              <w:t>предмета закупки в белорусских рублях</w:t>
            </w:r>
            <w:r w:rsidR="00B5212C">
              <w:rPr>
                <w:sz w:val="26"/>
                <w:szCs w:val="26"/>
              </w:rPr>
              <w:t xml:space="preserve"> </w:t>
            </w:r>
            <w:r w:rsidR="00B5212C" w:rsidRPr="00B5212C">
              <w:rPr>
                <w:sz w:val="26"/>
                <w:szCs w:val="26"/>
              </w:rPr>
              <w:t>(</w:t>
            </w:r>
            <w:r w:rsidR="00B5212C">
              <w:rPr>
                <w:sz w:val="26"/>
                <w:szCs w:val="26"/>
                <w:lang w:val="en-US"/>
              </w:rPr>
              <w:t>BYN</w:t>
            </w:r>
            <w:r w:rsidR="00B5212C" w:rsidRPr="00B5212C">
              <w:rPr>
                <w:sz w:val="26"/>
                <w:szCs w:val="26"/>
              </w:rPr>
              <w:t>)</w:t>
            </w:r>
            <w:r w:rsidR="00EE7B82">
              <w:rPr>
                <w:sz w:val="26"/>
                <w:szCs w:val="26"/>
              </w:rPr>
              <w:t xml:space="preserve"> по форме, указанной в Приложении</w:t>
            </w:r>
            <w:r w:rsidR="00CD63BF" w:rsidRPr="0046254B">
              <w:rPr>
                <w:sz w:val="26"/>
                <w:szCs w:val="26"/>
              </w:rPr>
              <w:t xml:space="preserve"> №1 к Приглашению</w:t>
            </w:r>
            <w:r w:rsidR="00681A41" w:rsidRPr="0046254B">
              <w:rPr>
                <w:sz w:val="26"/>
                <w:szCs w:val="26"/>
              </w:rPr>
              <w:t>.</w:t>
            </w:r>
          </w:p>
          <w:p w:rsidR="00681A41" w:rsidRPr="0046254B" w:rsidRDefault="001B1D6D" w:rsidP="00CD63B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сроки и условия </w:t>
            </w:r>
            <w:r w:rsidR="000253D9" w:rsidRPr="0046254B">
              <w:rPr>
                <w:sz w:val="26"/>
                <w:szCs w:val="26"/>
              </w:rPr>
              <w:t>предоставления услуг</w:t>
            </w:r>
            <w:r w:rsidR="00CD63BF" w:rsidRPr="0046254B">
              <w:rPr>
                <w:sz w:val="26"/>
                <w:szCs w:val="26"/>
              </w:rPr>
              <w:t xml:space="preserve">; </w:t>
            </w:r>
            <w:r w:rsidR="00681A41" w:rsidRPr="0046254B">
              <w:rPr>
                <w:sz w:val="26"/>
                <w:szCs w:val="26"/>
              </w:rPr>
              <w:t xml:space="preserve"> 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 условия оплаты.</w:t>
            </w:r>
          </w:p>
          <w:p w:rsidR="00681A41" w:rsidRPr="0046254B" w:rsidRDefault="00681A41" w:rsidP="00681A4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Коммерческое предложение, сопутствующая корреспонденция и документация должны быть представлены участником на русском (белорусском) языке.</w:t>
            </w:r>
          </w:p>
          <w:p w:rsidR="00681A41" w:rsidRPr="0046254B" w:rsidRDefault="00681A41" w:rsidP="00681A4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В коммерческом предложении не должно быть никаких вставок между строк, подтирок или приписок, за исключением необходимых исправлений ошибок, сделанных участником; исправления должны быть подписаны лицом, подписывающим коммерческое предложение;</w:t>
            </w:r>
          </w:p>
          <w:p w:rsidR="00681A41" w:rsidRPr="0046254B" w:rsidRDefault="00681A41" w:rsidP="00681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Коммерческое предложение должно: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иметь нумерацию страниц;</w:t>
            </w:r>
          </w:p>
          <w:p w:rsidR="00681A41" w:rsidRPr="0046254B" w:rsidRDefault="00681A41" w:rsidP="00EA08C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быть подписано руководителем </w:t>
            </w:r>
            <w:r w:rsidRPr="0046254B">
              <w:rPr>
                <w:sz w:val="26"/>
                <w:szCs w:val="26"/>
              </w:rPr>
              <w:lastRenderedPageBreak/>
              <w:t xml:space="preserve">(уполномоченным должностным лицом); 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заверено печатью (при наличии).</w:t>
            </w:r>
          </w:p>
          <w:p w:rsidR="00681A41" w:rsidRPr="0046254B" w:rsidRDefault="00681A41" w:rsidP="00681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b/>
                <w:sz w:val="26"/>
                <w:szCs w:val="26"/>
                <w:u w:val="single"/>
              </w:rPr>
              <w:t>Приложения к коммерческому предложению</w:t>
            </w:r>
            <w:r w:rsidRPr="0046254B">
              <w:rPr>
                <w:sz w:val="26"/>
                <w:szCs w:val="26"/>
              </w:rPr>
              <w:t>: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учредительные документы;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свидетельство о государственной регистрации;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согласие руководителя </w:t>
            </w:r>
            <w:r w:rsidR="00CD63BF" w:rsidRPr="0046254B">
              <w:rPr>
                <w:sz w:val="26"/>
                <w:szCs w:val="26"/>
              </w:rPr>
              <w:t xml:space="preserve">(лица уполномоченного на заключение договора) и главного бухгалтера </w:t>
            </w:r>
            <w:r w:rsidRPr="0046254B">
              <w:rPr>
                <w:sz w:val="26"/>
                <w:szCs w:val="26"/>
              </w:rPr>
              <w:t>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(Приложение</w:t>
            </w:r>
            <w:r w:rsidR="00DF3091" w:rsidRPr="0046254B">
              <w:rPr>
                <w:sz w:val="26"/>
                <w:szCs w:val="26"/>
              </w:rPr>
              <w:t xml:space="preserve"> №</w:t>
            </w:r>
            <w:r w:rsidRPr="0046254B">
              <w:rPr>
                <w:sz w:val="26"/>
                <w:szCs w:val="26"/>
              </w:rPr>
              <w:t xml:space="preserve"> 2 к Приглашению);</w:t>
            </w:r>
          </w:p>
          <w:p w:rsidR="00FC7A7E" w:rsidRPr="0046254B" w:rsidRDefault="00FC7A7E" w:rsidP="00681A4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Сведения об участнике (Приложение</w:t>
            </w:r>
            <w:r w:rsidR="00DF3091" w:rsidRPr="0046254B">
              <w:rPr>
                <w:sz w:val="26"/>
                <w:szCs w:val="26"/>
              </w:rPr>
              <w:t xml:space="preserve"> №</w:t>
            </w:r>
            <w:r w:rsidRPr="0046254B">
              <w:rPr>
                <w:sz w:val="26"/>
                <w:szCs w:val="26"/>
              </w:rPr>
              <w:t>3 к Приглашению)</w:t>
            </w:r>
            <w:r w:rsidR="00A678C5">
              <w:rPr>
                <w:sz w:val="26"/>
                <w:szCs w:val="26"/>
              </w:rPr>
              <w:t>;</w:t>
            </w:r>
          </w:p>
          <w:p w:rsidR="00681A41" w:rsidRPr="00EE7B82" w:rsidRDefault="00EE7B82" w:rsidP="00EE7B82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7B82">
              <w:rPr>
                <w:sz w:val="26"/>
                <w:szCs w:val="26"/>
              </w:rPr>
              <w:t>коммерческое предложение по форме Приложения №1 к Приглашению</w:t>
            </w:r>
            <w:r w:rsidR="00A678C5">
              <w:rPr>
                <w:sz w:val="26"/>
                <w:szCs w:val="26"/>
              </w:rPr>
              <w:t>;</w:t>
            </w:r>
          </w:p>
          <w:p w:rsidR="00EE7B82" w:rsidRPr="00EE7B82" w:rsidRDefault="00EE7B82" w:rsidP="00EE7B82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</w:t>
            </w:r>
            <w:r w:rsidR="000D77EB">
              <w:rPr>
                <w:sz w:val="26"/>
                <w:szCs w:val="26"/>
              </w:rPr>
              <w:t xml:space="preserve">соответствие квалификационным </w:t>
            </w:r>
            <w:r>
              <w:rPr>
                <w:sz w:val="26"/>
                <w:szCs w:val="26"/>
              </w:rPr>
              <w:t>требования</w:t>
            </w:r>
            <w:r w:rsidR="000D77EB">
              <w:rPr>
                <w:sz w:val="26"/>
                <w:szCs w:val="26"/>
              </w:rPr>
              <w:t>м</w:t>
            </w:r>
            <w:r w:rsidR="00EA34C3">
              <w:rPr>
                <w:sz w:val="26"/>
                <w:szCs w:val="26"/>
              </w:rPr>
              <w:t>, указанные в Приглашении</w:t>
            </w:r>
            <w:r w:rsidR="00A678C5">
              <w:rPr>
                <w:sz w:val="26"/>
                <w:szCs w:val="26"/>
              </w:rPr>
              <w:t>;</w:t>
            </w:r>
            <w:bookmarkStart w:id="0" w:name="_GoBack"/>
            <w:bookmarkEnd w:id="0"/>
          </w:p>
          <w:p w:rsidR="00681A41" w:rsidRPr="0046254B" w:rsidRDefault="00EA34C3" w:rsidP="00B0175D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81A41" w:rsidRPr="0046254B">
              <w:rPr>
                <w:sz w:val="26"/>
                <w:szCs w:val="26"/>
              </w:rPr>
              <w:t xml:space="preserve">. </w:t>
            </w:r>
            <w:r w:rsidR="00B0175D">
              <w:rPr>
                <w:sz w:val="26"/>
                <w:szCs w:val="26"/>
              </w:rPr>
              <w:t xml:space="preserve"> </w:t>
            </w:r>
            <w:r w:rsidR="0079157A" w:rsidRPr="0046254B">
              <w:rPr>
                <w:sz w:val="26"/>
                <w:szCs w:val="26"/>
              </w:rPr>
              <w:t>проект договора.</w:t>
            </w:r>
          </w:p>
          <w:p w:rsidR="00E115C5" w:rsidRPr="0046254B" w:rsidRDefault="00681A41" w:rsidP="00681A41">
            <w:pPr>
              <w:autoSpaceDE w:val="0"/>
              <w:autoSpaceDN w:val="0"/>
              <w:adjustRightInd w:val="0"/>
              <w:ind w:firstLine="318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Участники-нерезиденты Республики Беларусь представляют документы, аналогичные вышеуказанным в соответствии с законодательством стран.</w:t>
            </w:r>
          </w:p>
        </w:tc>
      </w:tr>
      <w:tr w:rsidR="00E115C5" w:rsidRPr="0046254B" w:rsidTr="0046254B">
        <w:tc>
          <w:tcPr>
            <w:tcW w:w="3402" w:type="dxa"/>
            <w:shd w:val="clear" w:color="auto" w:fill="auto"/>
            <w:vAlign w:val="center"/>
          </w:tcPr>
          <w:p w:rsidR="00E115C5" w:rsidRPr="0046254B" w:rsidRDefault="00E115C5" w:rsidP="007C3FC5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lastRenderedPageBreak/>
              <w:t>Требовани</w:t>
            </w:r>
            <w:r w:rsidR="00DE3EC9" w:rsidRPr="0046254B">
              <w:rPr>
                <w:sz w:val="26"/>
                <w:szCs w:val="26"/>
              </w:rPr>
              <w:t>я по условиям оплаты:</w:t>
            </w:r>
          </w:p>
        </w:tc>
        <w:tc>
          <w:tcPr>
            <w:tcW w:w="6521" w:type="dxa"/>
            <w:shd w:val="clear" w:color="auto" w:fill="auto"/>
          </w:tcPr>
          <w:p w:rsidR="00382167" w:rsidRPr="0046254B" w:rsidRDefault="00EE7B82" w:rsidP="00CD63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7B82">
              <w:rPr>
                <w:color w:val="000000"/>
                <w:sz w:val="26"/>
                <w:szCs w:val="26"/>
              </w:rPr>
              <w:t>ежемесячно по факту оказания услуг на основании соответствующих документов</w:t>
            </w:r>
          </w:p>
        </w:tc>
      </w:tr>
      <w:tr w:rsidR="0076578C" w:rsidRPr="0046254B" w:rsidTr="0046254B">
        <w:tc>
          <w:tcPr>
            <w:tcW w:w="3402" w:type="dxa"/>
            <w:shd w:val="clear" w:color="auto" w:fill="auto"/>
          </w:tcPr>
          <w:p w:rsidR="0076578C" w:rsidRPr="0046254B" w:rsidRDefault="00354844" w:rsidP="00354844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Наименование валюты предоставления коммерческих предложений: </w:t>
            </w:r>
            <w:r w:rsidR="0076578C" w:rsidRPr="004625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76578C" w:rsidRPr="0046254B" w:rsidRDefault="00EE7B82" w:rsidP="008A0F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рубль</w:t>
            </w:r>
            <w:r w:rsidR="009A1D80" w:rsidRPr="0046254B">
              <w:rPr>
                <w:sz w:val="26"/>
                <w:szCs w:val="26"/>
              </w:rPr>
              <w:t xml:space="preserve"> (</w:t>
            </w:r>
            <w:r w:rsidR="003541EE" w:rsidRPr="0046254B">
              <w:rPr>
                <w:sz w:val="26"/>
                <w:szCs w:val="26"/>
                <w:lang w:val="en-US"/>
              </w:rPr>
              <w:t>BYN</w:t>
            </w:r>
            <w:r w:rsidR="009A1D80" w:rsidRPr="0046254B">
              <w:rPr>
                <w:sz w:val="26"/>
                <w:szCs w:val="26"/>
              </w:rPr>
              <w:t>)</w:t>
            </w:r>
          </w:p>
        </w:tc>
      </w:tr>
      <w:tr w:rsidR="00992B90" w:rsidRPr="0046254B" w:rsidTr="0046254B">
        <w:tc>
          <w:tcPr>
            <w:tcW w:w="3402" w:type="dxa"/>
            <w:shd w:val="clear" w:color="auto" w:fill="auto"/>
            <w:vAlign w:val="center"/>
          </w:tcPr>
          <w:p w:rsidR="00992B90" w:rsidRPr="0046254B" w:rsidRDefault="00992B9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Способ предоставления</w:t>
            </w:r>
            <w:r w:rsidR="00C249CD" w:rsidRPr="0046254B">
              <w:rPr>
                <w:sz w:val="26"/>
                <w:szCs w:val="26"/>
              </w:rPr>
              <w:t xml:space="preserve"> комме</w:t>
            </w:r>
            <w:r w:rsidR="0076578C" w:rsidRPr="0046254B">
              <w:rPr>
                <w:sz w:val="26"/>
                <w:szCs w:val="26"/>
              </w:rPr>
              <w:t>рческих предложений</w:t>
            </w:r>
          </w:p>
        </w:tc>
        <w:tc>
          <w:tcPr>
            <w:tcW w:w="6521" w:type="dxa"/>
            <w:shd w:val="clear" w:color="auto" w:fill="auto"/>
          </w:tcPr>
          <w:p w:rsidR="004F07FF" w:rsidRPr="0046254B" w:rsidRDefault="00992B90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электронный адрес</w:t>
            </w:r>
            <w:r w:rsidR="004F07FF" w:rsidRPr="0046254B">
              <w:rPr>
                <w:sz w:val="26"/>
                <w:szCs w:val="26"/>
              </w:rPr>
              <w:t>:</w:t>
            </w:r>
          </w:p>
          <w:p w:rsidR="002274C3" w:rsidRPr="0046254B" w:rsidRDefault="00A678C5" w:rsidP="00EE7B82">
            <w:pPr>
              <w:jc w:val="both"/>
              <w:rPr>
                <w:sz w:val="26"/>
                <w:szCs w:val="26"/>
              </w:rPr>
            </w:pPr>
            <w:hyperlink r:id="rId8" w:history="1">
              <w:r w:rsidR="00A1461E" w:rsidRPr="0046254B">
                <w:rPr>
                  <w:rStyle w:val="a9"/>
                  <w:sz w:val="26"/>
                  <w:szCs w:val="26"/>
                  <w:lang w:val="en-US"/>
                </w:rPr>
                <w:t>Tenders</w:t>
              </w:r>
              <w:r w:rsidR="00A1461E" w:rsidRPr="0046254B">
                <w:rPr>
                  <w:rStyle w:val="a9"/>
                  <w:sz w:val="26"/>
                  <w:szCs w:val="26"/>
                </w:rPr>
                <w:t>@bps-sberbank.by</w:t>
              </w:r>
            </w:hyperlink>
            <w:r w:rsidR="00A1461E" w:rsidRPr="0046254B">
              <w:rPr>
                <w:sz w:val="26"/>
                <w:szCs w:val="26"/>
              </w:rPr>
              <w:t xml:space="preserve"> </w:t>
            </w:r>
            <w:r w:rsidR="00B32DE7" w:rsidRPr="0046254B">
              <w:rPr>
                <w:sz w:val="26"/>
                <w:szCs w:val="26"/>
              </w:rPr>
              <w:t xml:space="preserve">с пометкой </w:t>
            </w:r>
            <w:r w:rsidR="00DE3EC9" w:rsidRPr="0046254B">
              <w:rPr>
                <w:sz w:val="26"/>
                <w:szCs w:val="26"/>
              </w:rPr>
              <w:t>к</w:t>
            </w:r>
            <w:r w:rsidR="002274C3" w:rsidRPr="0046254B">
              <w:rPr>
                <w:sz w:val="26"/>
                <w:szCs w:val="26"/>
              </w:rPr>
              <w:t xml:space="preserve">оммерческое </w:t>
            </w:r>
            <w:r w:rsidR="00426359" w:rsidRPr="0046254B">
              <w:rPr>
                <w:sz w:val="26"/>
                <w:szCs w:val="26"/>
              </w:rPr>
              <w:t xml:space="preserve">предложение </w:t>
            </w:r>
            <w:r w:rsidR="00EE7B82">
              <w:rPr>
                <w:sz w:val="26"/>
                <w:szCs w:val="26"/>
              </w:rPr>
              <w:t xml:space="preserve">к участию в процедуре закупки </w:t>
            </w:r>
            <w:r w:rsidR="00B32DE7" w:rsidRPr="0046254B">
              <w:rPr>
                <w:sz w:val="26"/>
                <w:szCs w:val="26"/>
              </w:rPr>
              <w:t>«</w:t>
            </w:r>
            <w:r w:rsidR="00DF3091" w:rsidRPr="0046254B">
              <w:rPr>
                <w:sz w:val="26"/>
                <w:szCs w:val="26"/>
              </w:rPr>
              <w:t xml:space="preserve">Услуги </w:t>
            </w:r>
            <w:r w:rsidR="00EE7B82" w:rsidRPr="00EE7B82">
              <w:rPr>
                <w:sz w:val="26"/>
                <w:szCs w:val="26"/>
              </w:rPr>
              <w:t>по управлению репутацией ОАО «БПС-Сбербанк»</w:t>
            </w:r>
          </w:p>
        </w:tc>
      </w:tr>
      <w:tr w:rsidR="009A1D80" w:rsidRPr="0046254B" w:rsidTr="0046254B">
        <w:tc>
          <w:tcPr>
            <w:tcW w:w="3402" w:type="dxa"/>
            <w:shd w:val="clear" w:color="auto" w:fill="auto"/>
            <w:vAlign w:val="center"/>
          </w:tcPr>
          <w:p w:rsidR="009A1D80" w:rsidRPr="0046254B" w:rsidRDefault="009A1D8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Валюта заключения договора</w:t>
            </w:r>
          </w:p>
        </w:tc>
        <w:tc>
          <w:tcPr>
            <w:tcW w:w="6521" w:type="dxa"/>
            <w:shd w:val="clear" w:color="auto" w:fill="auto"/>
          </w:tcPr>
          <w:p w:rsidR="009A1D80" w:rsidRPr="0046254B" w:rsidRDefault="00EE7B82" w:rsidP="002D5D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рубль</w:t>
            </w:r>
            <w:r w:rsidR="009A1D80" w:rsidRPr="0046254B">
              <w:rPr>
                <w:sz w:val="26"/>
                <w:szCs w:val="26"/>
              </w:rPr>
              <w:t xml:space="preserve"> (</w:t>
            </w:r>
            <w:r w:rsidR="009A1D80" w:rsidRPr="0046254B">
              <w:rPr>
                <w:sz w:val="26"/>
                <w:szCs w:val="26"/>
                <w:lang w:val="en-US"/>
              </w:rPr>
              <w:t>BYN</w:t>
            </w:r>
            <w:r w:rsidR="009A1D80" w:rsidRPr="0046254B">
              <w:rPr>
                <w:sz w:val="26"/>
                <w:szCs w:val="26"/>
              </w:rPr>
              <w:t>)</w:t>
            </w:r>
          </w:p>
        </w:tc>
      </w:tr>
      <w:tr w:rsidR="002F7F67" w:rsidRPr="0046254B" w:rsidTr="0046254B">
        <w:tc>
          <w:tcPr>
            <w:tcW w:w="3402" w:type="dxa"/>
            <w:shd w:val="clear" w:color="auto" w:fill="auto"/>
            <w:vAlign w:val="center"/>
          </w:tcPr>
          <w:p w:rsidR="002F7F67" w:rsidRPr="0046254B" w:rsidRDefault="002F7F67" w:rsidP="00F30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 договора</w:t>
            </w:r>
          </w:p>
        </w:tc>
        <w:tc>
          <w:tcPr>
            <w:tcW w:w="6521" w:type="dxa"/>
            <w:shd w:val="clear" w:color="auto" w:fill="auto"/>
          </w:tcPr>
          <w:p w:rsidR="002F7F67" w:rsidRDefault="002F7F67" w:rsidP="002D5D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месяцев</w:t>
            </w:r>
          </w:p>
        </w:tc>
      </w:tr>
      <w:tr w:rsidR="009A1D80" w:rsidRPr="0046254B" w:rsidTr="0046254B">
        <w:tc>
          <w:tcPr>
            <w:tcW w:w="3402" w:type="dxa"/>
            <w:shd w:val="clear" w:color="auto" w:fill="auto"/>
            <w:vAlign w:val="center"/>
          </w:tcPr>
          <w:p w:rsidR="009A1D80" w:rsidRPr="0046254B" w:rsidRDefault="009A1D8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Контактные лицо по проведению процедуры закупки</w:t>
            </w:r>
          </w:p>
        </w:tc>
        <w:tc>
          <w:tcPr>
            <w:tcW w:w="6521" w:type="dxa"/>
            <w:shd w:val="clear" w:color="auto" w:fill="auto"/>
          </w:tcPr>
          <w:p w:rsidR="009A1D80" w:rsidRPr="0046254B" w:rsidRDefault="00EE7B82" w:rsidP="00F304B8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Володина Ольга Сергеевна</w:t>
            </w:r>
          </w:p>
          <w:p w:rsidR="00117916" w:rsidRPr="0046254B" w:rsidRDefault="00EE7B82" w:rsidP="004D202E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+375 17 359 99 70</w:t>
            </w:r>
          </w:p>
        </w:tc>
      </w:tr>
      <w:tr w:rsidR="009A1D80" w:rsidRPr="0046254B" w:rsidTr="0046254B">
        <w:tc>
          <w:tcPr>
            <w:tcW w:w="3402" w:type="dxa"/>
            <w:shd w:val="clear" w:color="auto" w:fill="auto"/>
            <w:vAlign w:val="center"/>
          </w:tcPr>
          <w:p w:rsidR="009A1D80" w:rsidRPr="0046254B" w:rsidRDefault="009A1D8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Контактное лицо по предмету закупки</w:t>
            </w:r>
          </w:p>
        </w:tc>
        <w:tc>
          <w:tcPr>
            <w:tcW w:w="6521" w:type="dxa"/>
            <w:shd w:val="clear" w:color="auto" w:fill="auto"/>
          </w:tcPr>
          <w:p w:rsidR="009A1D80" w:rsidRPr="0046254B" w:rsidRDefault="00EE7B82" w:rsidP="0079157A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Прохорчик </w:t>
            </w:r>
            <w:r w:rsidRPr="00EE7B82">
              <w:rPr>
                <w:rFonts w:ascii="Times New Roman" w:hAnsi="Times New Roman"/>
                <w:sz w:val="26"/>
                <w:szCs w:val="26"/>
              </w:rPr>
              <w:t>Елена Владимировна</w:t>
            </w:r>
          </w:p>
          <w:p w:rsidR="00B32DE7" w:rsidRPr="0046254B" w:rsidRDefault="00B32DE7" w:rsidP="0079157A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54B">
              <w:rPr>
                <w:rFonts w:ascii="Times New Roman" w:hAnsi="Times New Roman"/>
                <w:sz w:val="26"/>
                <w:szCs w:val="26"/>
              </w:rPr>
              <w:t>Тел. +375 17</w:t>
            </w:r>
            <w:r w:rsidR="00DE3EC9" w:rsidRPr="0046254B">
              <w:rPr>
                <w:rFonts w:ascii="Times New Roman" w:hAnsi="Times New Roman"/>
                <w:sz w:val="26"/>
                <w:szCs w:val="26"/>
              </w:rPr>
              <w:t> </w:t>
            </w:r>
            <w:r w:rsidRPr="0046254B">
              <w:rPr>
                <w:rFonts w:ascii="Times New Roman" w:hAnsi="Times New Roman"/>
                <w:sz w:val="26"/>
                <w:szCs w:val="26"/>
              </w:rPr>
              <w:t>359</w:t>
            </w:r>
            <w:r w:rsidR="00DE3EC9" w:rsidRPr="00462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7B82">
              <w:rPr>
                <w:rFonts w:ascii="Times New Roman" w:hAnsi="Times New Roman"/>
                <w:sz w:val="26"/>
                <w:szCs w:val="26"/>
              </w:rPr>
              <w:t>96 70</w:t>
            </w:r>
          </w:p>
        </w:tc>
      </w:tr>
      <w:tr w:rsidR="009A1D80" w:rsidRPr="0046254B" w:rsidTr="0046254B">
        <w:trPr>
          <w:trHeight w:val="655"/>
        </w:trPr>
        <w:tc>
          <w:tcPr>
            <w:tcW w:w="3402" w:type="dxa"/>
            <w:shd w:val="clear" w:color="auto" w:fill="auto"/>
            <w:vAlign w:val="center"/>
          </w:tcPr>
          <w:p w:rsidR="009A1D80" w:rsidRPr="0046254B" w:rsidRDefault="009A1D8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Срок предоставления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A1D80" w:rsidRPr="0046254B" w:rsidRDefault="00B87377" w:rsidP="0079157A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46254B">
              <w:rPr>
                <w:rFonts w:ascii="Times New Roman" w:hAnsi="Times New Roman"/>
                <w:sz w:val="26"/>
                <w:szCs w:val="26"/>
              </w:rPr>
              <w:t xml:space="preserve">до 23.59  </w:t>
            </w:r>
            <w:r w:rsidR="00B32DE7" w:rsidRPr="007B4344">
              <w:rPr>
                <w:rFonts w:ascii="Times New Roman" w:hAnsi="Times New Roman"/>
                <w:sz w:val="26"/>
                <w:szCs w:val="26"/>
              </w:rPr>
              <w:t>2</w:t>
            </w:r>
            <w:r w:rsidR="007B4344" w:rsidRPr="007B4344">
              <w:rPr>
                <w:rFonts w:ascii="Times New Roman" w:hAnsi="Times New Roman"/>
                <w:sz w:val="26"/>
                <w:szCs w:val="26"/>
              </w:rPr>
              <w:t>8</w:t>
            </w:r>
            <w:r w:rsidRPr="00462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175D">
              <w:rPr>
                <w:rFonts w:ascii="Times New Roman" w:hAnsi="Times New Roman"/>
                <w:sz w:val="26"/>
                <w:szCs w:val="26"/>
              </w:rPr>
              <w:t>января 2021</w:t>
            </w:r>
            <w:r w:rsidR="009A1D80" w:rsidRPr="0046254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992B90" w:rsidRPr="0046254B" w:rsidRDefault="0043744A" w:rsidP="0043744A">
      <w:pPr>
        <w:ind w:firstLine="708"/>
        <w:jc w:val="both"/>
        <w:rPr>
          <w:sz w:val="26"/>
          <w:szCs w:val="26"/>
        </w:rPr>
      </w:pPr>
      <w:r w:rsidRPr="0046254B">
        <w:rPr>
          <w:sz w:val="26"/>
          <w:szCs w:val="26"/>
        </w:rPr>
        <w:t xml:space="preserve">Коммерческие предложения, поступившее в Банк </w:t>
      </w:r>
      <w:r w:rsidRPr="0046254B">
        <w:rPr>
          <w:i/>
          <w:sz w:val="26"/>
          <w:szCs w:val="26"/>
        </w:rPr>
        <w:t>после истечения окончательного срока его представления</w:t>
      </w:r>
      <w:r w:rsidRPr="0046254B">
        <w:rPr>
          <w:sz w:val="26"/>
          <w:szCs w:val="26"/>
        </w:rPr>
        <w:t>, к рассмотрению не принимаются.</w:t>
      </w:r>
    </w:p>
    <w:p w:rsidR="00C54C1E" w:rsidRDefault="0076578C" w:rsidP="00C02EC9">
      <w:pPr>
        <w:ind w:firstLine="708"/>
        <w:jc w:val="both"/>
        <w:rPr>
          <w:sz w:val="26"/>
          <w:szCs w:val="26"/>
        </w:rPr>
      </w:pPr>
      <w:r w:rsidRPr="0046254B">
        <w:rPr>
          <w:sz w:val="26"/>
          <w:szCs w:val="26"/>
        </w:rPr>
        <w:t>Заказчик вправе отменить процедуру закупки до за</w:t>
      </w:r>
      <w:r w:rsidR="007C7A35" w:rsidRPr="0046254B">
        <w:rPr>
          <w:sz w:val="26"/>
          <w:szCs w:val="26"/>
        </w:rPr>
        <w:t>ключения договора с победителем и не несет за это ответственность перед участниками процедуры закупки.</w:t>
      </w:r>
    </w:p>
    <w:p w:rsidR="00C54C1E" w:rsidRDefault="00C54C1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54C1E" w:rsidRPr="00C54C1E" w:rsidRDefault="00C54C1E" w:rsidP="00C54C1E">
      <w:pPr>
        <w:jc w:val="right"/>
        <w:rPr>
          <w:sz w:val="28"/>
          <w:szCs w:val="28"/>
        </w:rPr>
      </w:pPr>
      <w:r w:rsidRPr="00C54C1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54C1E">
        <w:rPr>
          <w:sz w:val="28"/>
          <w:szCs w:val="28"/>
        </w:rPr>
        <w:t>1</w:t>
      </w:r>
      <w:r>
        <w:rPr>
          <w:sz w:val="28"/>
          <w:szCs w:val="28"/>
        </w:rPr>
        <w:t xml:space="preserve"> к Приглашению</w:t>
      </w:r>
      <w:r w:rsidRPr="00C54C1E">
        <w:rPr>
          <w:sz w:val="28"/>
          <w:szCs w:val="28"/>
        </w:rPr>
        <w:t xml:space="preserve"> </w:t>
      </w:r>
    </w:p>
    <w:p w:rsidR="00C54C1E" w:rsidRPr="00C54C1E" w:rsidRDefault="00C54C1E" w:rsidP="00C54C1E">
      <w:pPr>
        <w:jc w:val="right"/>
        <w:rPr>
          <w:sz w:val="28"/>
          <w:szCs w:val="28"/>
        </w:rPr>
      </w:pPr>
    </w:p>
    <w:p w:rsidR="00C54C1E" w:rsidRPr="00C54C1E" w:rsidRDefault="00C54C1E" w:rsidP="00C54C1E">
      <w:pPr>
        <w:jc w:val="center"/>
        <w:rPr>
          <w:sz w:val="28"/>
          <w:szCs w:val="28"/>
        </w:rPr>
      </w:pPr>
      <w:r w:rsidRPr="00C54C1E">
        <w:rPr>
          <w:sz w:val="28"/>
          <w:szCs w:val="28"/>
        </w:rPr>
        <w:t xml:space="preserve">Требования, предъявляемые к услугам </w:t>
      </w:r>
    </w:p>
    <w:p w:rsidR="00C54C1E" w:rsidRPr="00C54C1E" w:rsidRDefault="00C54C1E" w:rsidP="00C54C1E">
      <w:pPr>
        <w:jc w:val="center"/>
        <w:rPr>
          <w:sz w:val="28"/>
          <w:szCs w:val="28"/>
        </w:rPr>
      </w:pPr>
      <w:r w:rsidRPr="00C54C1E">
        <w:rPr>
          <w:sz w:val="28"/>
          <w:szCs w:val="28"/>
        </w:rPr>
        <w:t>по управлению репутацией ОАО «БПС-Сбербанк»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9C23ED" w:rsidP="00C54C1E">
      <w:pPr>
        <w:rPr>
          <w:sz w:val="28"/>
          <w:szCs w:val="28"/>
        </w:rPr>
      </w:pPr>
      <w:r>
        <w:rPr>
          <w:sz w:val="28"/>
          <w:szCs w:val="28"/>
        </w:rPr>
        <w:t>Ориентировочный с</w:t>
      </w:r>
      <w:r w:rsidR="00C54C1E" w:rsidRPr="00C54C1E">
        <w:rPr>
          <w:sz w:val="28"/>
          <w:szCs w:val="28"/>
        </w:rPr>
        <w:t>рок оказываемых услуг: с 01.02.2021 по 31.01.2022.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b/>
          <w:sz w:val="28"/>
          <w:szCs w:val="28"/>
        </w:rPr>
      </w:pPr>
      <w:r w:rsidRPr="00C54C1E">
        <w:rPr>
          <w:b/>
          <w:sz w:val="28"/>
          <w:szCs w:val="28"/>
        </w:rPr>
        <w:t>1. Реагирование на отзывы/обращения клиентов в сети интернет: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 xml:space="preserve">Мониторинг популярных порталов: </w:t>
      </w:r>
    </w:p>
    <w:p w:rsidR="00C54C1E" w:rsidRPr="00C54C1E" w:rsidRDefault="00A678C5" w:rsidP="00C54C1E">
      <w:pPr>
        <w:rPr>
          <w:sz w:val="28"/>
          <w:szCs w:val="28"/>
        </w:rPr>
      </w:pPr>
      <w:hyperlink r:id="rId9" w:history="1"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infobank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</w:hyperlink>
    </w:p>
    <w:p w:rsidR="00C54C1E" w:rsidRPr="00C54C1E" w:rsidRDefault="00A678C5" w:rsidP="00C54C1E">
      <w:pPr>
        <w:rPr>
          <w:sz w:val="28"/>
          <w:szCs w:val="28"/>
        </w:rPr>
      </w:pPr>
      <w:hyperlink r:id="rId10" w:history="1"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myfin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</w:hyperlink>
    </w:p>
    <w:p w:rsidR="00C54C1E" w:rsidRPr="00C54C1E" w:rsidRDefault="00A678C5" w:rsidP="00C54C1E">
      <w:pPr>
        <w:rPr>
          <w:sz w:val="28"/>
          <w:szCs w:val="28"/>
        </w:rPr>
      </w:pPr>
      <w:hyperlink r:id="rId11" w:history="1"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tut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</w:hyperlink>
    </w:p>
    <w:p w:rsidR="00C54C1E" w:rsidRPr="00C54C1E" w:rsidRDefault="00A678C5" w:rsidP="00C54C1E">
      <w:pPr>
        <w:rPr>
          <w:sz w:val="28"/>
          <w:szCs w:val="28"/>
        </w:rPr>
      </w:pPr>
      <w:hyperlink r:id="rId12" w:history="1"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onliner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</w:hyperlink>
    </w:p>
    <w:p w:rsidR="00C54C1E" w:rsidRPr="00C54C1E" w:rsidRDefault="00A678C5" w:rsidP="00C54C1E">
      <w:pPr>
        <w:rPr>
          <w:color w:val="0000FF" w:themeColor="hyperlink"/>
          <w:sz w:val="28"/>
          <w:szCs w:val="28"/>
          <w:u w:val="single"/>
        </w:rPr>
      </w:pPr>
      <w:hyperlink r:id="rId13" w:history="1"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otzyvy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</w:hyperlink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 xml:space="preserve">а также иных площадок при упоминании бренда. 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 xml:space="preserve">Мониторинг упоминаний бренда в приложении БПС-Сбербанка в </w:t>
      </w:r>
      <w:r w:rsidRPr="00C54C1E">
        <w:rPr>
          <w:sz w:val="28"/>
          <w:szCs w:val="28"/>
          <w:lang w:val="en-US"/>
        </w:rPr>
        <w:t>App</w:t>
      </w:r>
      <w:r w:rsidRPr="00C54C1E">
        <w:rPr>
          <w:sz w:val="28"/>
          <w:szCs w:val="28"/>
        </w:rPr>
        <w:t xml:space="preserve"> </w:t>
      </w:r>
      <w:r w:rsidRPr="00C54C1E">
        <w:rPr>
          <w:sz w:val="28"/>
          <w:szCs w:val="28"/>
          <w:lang w:val="en-US"/>
        </w:rPr>
        <w:t>Store</w:t>
      </w:r>
      <w:r w:rsidRPr="00C54C1E">
        <w:rPr>
          <w:sz w:val="28"/>
          <w:szCs w:val="28"/>
        </w:rPr>
        <w:t xml:space="preserve"> и </w:t>
      </w:r>
      <w:r w:rsidRPr="00C54C1E">
        <w:rPr>
          <w:sz w:val="28"/>
          <w:szCs w:val="28"/>
          <w:lang w:val="en-US"/>
        </w:rPr>
        <w:t>Play</w:t>
      </w:r>
      <w:r w:rsidRPr="00C54C1E">
        <w:rPr>
          <w:sz w:val="28"/>
          <w:szCs w:val="28"/>
        </w:rPr>
        <w:t xml:space="preserve"> Маркет.</w:t>
      </w:r>
    </w:p>
    <w:p w:rsidR="00C54C1E" w:rsidRPr="00C54C1E" w:rsidRDefault="00C54C1E" w:rsidP="00C54C1E">
      <w:pPr>
        <w:rPr>
          <w:i/>
          <w:sz w:val="28"/>
          <w:szCs w:val="28"/>
        </w:rPr>
      </w:pPr>
    </w:p>
    <w:p w:rsidR="00C54C1E" w:rsidRPr="00C54C1E" w:rsidRDefault="00C54C1E" w:rsidP="00C54C1E">
      <w:pPr>
        <w:rPr>
          <w:i/>
          <w:sz w:val="28"/>
          <w:szCs w:val="28"/>
        </w:rPr>
      </w:pPr>
      <w:r w:rsidRPr="00C54C1E">
        <w:rPr>
          <w:i/>
          <w:sz w:val="28"/>
          <w:szCs w:val="28"/>
        </w:rPr>
        <w:t>Схема работы (</w:t>
      </w:r>
      <w:r w:rsidRPr="00C54C1E">
        <w:rPr>
          <w:rFonts w:eastAsiaTheme="minorHAnsi"/>
          <w:i/>
          <w:iCs/>
          <w:color w:val="000000"/>
          <w:sz w:val="28"/>
          <w:szCs w:val="28"/>
          <w:lang w:eastAsia="en-US"/>
        </w:rPr>
        <w:t>если требуется официальный ответ банка):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Ежедневный мониторинг - Передача выявленных отзывов в Центр клиентской поддержки - Ожидание ответа - Размещение от официального аккаунта полученного ответа на отзыв/обращение.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b/>
          <w:sz w:val="28"/>
          <w:szCs w:val="28"/>
        </w:rPr>
        <w:t>2. Мониторинг упоминаний бренда в интернете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i/>
          <w:sz w:val="28"/>
          <w:szCs w:val="28"/>
        </w:rPr>
      </w:pPr>
      <w:r w:rsidRPr="00C54C1E">
        <w:rPr>
          <w:sz w:val="28"/>
          <w:szCs w:val="28"/>
        </w:rPr>
        <w:t>Закупка услуг по мониторингу упоминания бренда Банка согласно следующим требованиям:</w:t>
      </w:r>
    </w:p>
    <w:p w:rsidR="00C54C1E" w:rsidRPr="00C54C1E" w:rsidRDefault="00C54C1E" w:rsidP="00C54C1E">
      <w:pPr>
        <w:rPr>
          <w:i/>
          <w:sz w:val="28"/>
          <w:szCs w:val="28"/>
        </w:rPr>
      </w:pP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Предоставление доступа с возможностью анализа данных на реакцию упоминания в режиме реального времени;</w:t>
      </w:r>
    </w:p>
    <w:p w:rsidR="00C54C1E" w:rsidRPr="00C54C1E" w:rsidRDefault="00C54C1E" w:rsidP="00C54C1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54C1E">
        <w:rPr>
          <w:rFonts w:eastAsiaTheme="minorHAnsi"/>
          <w:color w:val="000000"/>
          <w:sz w:val="28"/>
          <w:szCs w:val="28"/>
          <w:lang w:eastAsia="en-US"/>
        </w:rPr>
        <w:t>- Мониторинг упоминаний Бренда ОАО «БПС-Сбербанк» в СМИ;</w:t>
      </w:r>
    </w:p>
    <w:p w:rsidR="00C54C1E" w:rsidRPr="00C54C1E" w:rsidRDefault="00C54C1E" w:rsidP="00C54C1E">
      <w:pPr>
        <w:rPr>
          <w:rFonts w:eastAsiaTheme="minorHAnsi"/>
          <w:color w:val="000000"/>
          <w:sz w:val="28"/>
          <w:szCs w:val="28"/>
          <w:lang w:eastAsia="en-US"/>
        </w:rPr>
      </w:pPr>
      <w:r w:rsidRPr="00C54C1E">
        <w:rPr>
          <w:rFonts w:eastAsiaTheme="minorHAnsi"/>
          <w:color w:val="000000"/>
          <w:sz w:val="28"/>
          <w:szCs w:val="28"/>
          <w:lang w:eastAsia="en-US"/>
        </w:rPr>
        <w:t>- Мониторинг упоминаний Бренда ОАО «БПС-Сбербанк» в социальных сетях;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Мониторинг упоминаний конкурентов Топ-5;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Сравнение брендов (график, выгрузка);</w:t>
      </w:r>
    </w:p>
    <w:p w:rsidR="00C54C1E" w:rsidRPr="00C54C1E" w:rsidRDefault="00C54C1E" w:rsidP="00C54C1E">
      <w:pPr>
        <w:rPr>
          <w:rFonts w:eastAsiaTheme="minorHAnsi"/>
          <w:color w:val="000000"/>
          <w:sz w:val="28"/>
          <w:szCs w:val="28"/>
          <w:lang w:eastAsia="en-US"/>
        </w:rPr>
      </w:pPr>
      <w:r w:rsidRPr="00C54C1E">
        <w:rPr>
          <w:sz w:val="28"/>
          <w:szCs w:val="28"/>
        </w:rPr>
        <w:t xml:space="preserve">- </w:t>
      </w:r>
      <w:r w:rsidRPr="00C54C1E">
        <w:rPr>
          <w:rFonts w:eastAsiaTheme="minorHAnsi"/>
          <w:color w:val="000000"/>
          <w:sz w:val="28"/>
          <w:szCs w:val="28"/>
          <w:lang w:eastAsia="en-US"/>
        </w:rPr>
        <w:t>Модерация результатов мониторинга и еженедельный аналитический отчет по Бренду и Топ-5 конкурентов;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rFonts w:eastAsiaTheme="minorHAnsi"/>
          <w:color w:val="000000"/>
          <w:sz w:val="28"/>
          <w:szCs w:val="28"/>
          <w:lang w:eastAsia="en-US"/>
        </w:rPr>
        <w:t>- Ежемесячный и ежеквартальный аналитический отчет по Бренду и Топ-5 конкурентов.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b/>
          <w:sz w:val="28"/>
          <w:szCs w:val="28"/>
        </w:rPr>
      </w:pPr>
      <w:r w:rsidRPr="00C54C1E">
        <w:rPr>
          <w:b/>
          <w:sz w:val="28"/>
          <w:szCs w:val="28"/>
        </w:rPr>
        <w:t xml:space="preserve">3. Формирование отзывов агентами влияния (вспомогательный инструмент для создания позитивного фона о Банке) 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i/>
          <w:sz w:val="28"/>
          <w:szCs w:val="28"/>
        </w:rPr>
      </w:pPr>
      <w:r w:rsidRPr="00C54C1E">
        <w:rPr>
          <w:i/>
          <w:sz w:val="28"/>
          <w:szCs w:val="28"/>
        </w:rPr>
        <w:t>Схема работы: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lastRenderedPageBreak/>
        <w:t>Агенты влияния (клиенты) оставляют положительные отзывы, тем самым балансируют негативный фон.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Отчет по управлению репутацией в сети интернет через агентов влияния должен отображать все виды выполняемых работ и обязательно содержать следующие данные:</w:t>
      </w:r>
    </w:p>
    <w:p w:rsidR="00C54C1E" w:rsidRPr="00C54C1E" w:rsidRDefault="00C54C1E" w:rsidP="00C54C1E">
      <w:pPr>
        <w:rPr>
          <w:b/>
          <w:sz w:val="28"/>
          <w:szCs w:val="28"/>
        </w:rPr>
      </w:pPr>
      <w:r w:rsidRPr="00C54C1E">
        <w:rPr>
          <w:sz w:val="28"/>
          <w:szCs w:val="28"/>
        </w:rPr>
        <w:t>- Объем сообщений, опубликованных на каждой площадке;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Анализ тем, тональности и характера упоминаний бренда в качественных и количественных характеристиках;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Объемы сообщений для работы в поисковой выдаче и для оперативного реагирования на негатив;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Примеры реагирования на распространенные негативные поинты;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Рекомендации по работе на следующий за отчетный период.</w:t>
      </w:r>
    </w:p>
    <w:p w:rsidR="00C54C1E" w:rsidRPr="00C54C1E" w:rsidRDefault="00C54C1E" w:rsidP="00C54C1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184"/>
        <w:gridCol w:w="1940"/>
        <w:gridCol w:w="1956"/>
        <w:gridCol w:w="1762"/>
      </w:tblGrid>
      <w:tr w:rsidR="00C54C1E" w:rsidRPr="00C54C1E" w:rsidTr="00BE1F9A">
        <w:trPr>
          <w:trHeight w:val="577"/>
        </w:trPr>
        <w:tc>
          <w:tcPr>
            <w:tcW w:w="1132" w:type="pct"/>
            <w:vAlign w:val="center"/>
          </w:tcPr>
          <w:p w:rsidR="00C54C1E" w:rsidRPr="00C54C1E" w:rsidRDefault="00C54C1E" w:rsidP="00C54C1E">
            <w:pPr>
              <w:rPr>
                <w:bCs/>
                <w:color w:val="000000"/>
              </w:rPr>
            </w:pPr>
            <w:r w:rsidRPr="00C54C1E">
              <w:rPr>
                <w:bCs/>
                <w:color w:val="000000"/>
              </w:rPr>
              <w:t>Наименование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C1E" w:rsidRPr="00C54C1E" w:rsidRDefault="00C54C1E" w:rsidP="00C54C1E">
            <w:pPr>
              <w:rPr>
                <w:bCs/>
                <w:color w:val="000000"/>
              </w:rPr>
            </w:pPr>
            <w:r w:rsidRPr="00C54C1E">
              <w:rPr>
                <w:bCs/>
                <w:color w:val="000000"/>
              </w:rPr>
              <w:t>Описание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rPr>
                <w:color w:val="000000"/>
              </w:rPr>
            </w:pPr>
            <w:r w:rsidRPr="00C54C1E">
              <w:rPr>
                <w:color w:val="000000"/>
              </w:rPr>
              <w:t>Объем</w:t>
            </w:r>
          </w:p>
        </w:tc>
        <w:tc>
          <w:tcPr>
            <w:tcW w:w="965" w:type="pct"/>
            <w:vAlign w:val="center"/>
          </w:tcPr>
          <w:p w:rsidR="00C54C1E" w:rsidRPr="00C54C1E" w:rsidRDefault="00C54C1E" w:rsidP="00C54C1E">
            <w:pPr>
              <w:rPr>
                <w:b/>
                <w:color w:val="000000"/>
              </w:rPr>
            </w:pPr>
            <w:r w:rsidRPr="00C54C1E">
              <w:t xml:space="preserve">Стоимость оказания услуги, </w:t>
            </w:r>
            <w:r w:rsidRPr="00C54C1E">
              <w:rPr>
                <w:lang w:val="en-US"/>
              </w:rPr>
              <w:t>BYN</w:t>
            </w:r>
            <w:r w:rsidRPr="00C54C1E">
              <w:t xml:space="preserve"> в месяц </w:t>
            </w:r>
            <w:r w:rsidR="00D270D1">
              <w:t>с НДС*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rPr>
                <w:b/>
                <w:color w:val="000000"/>
              </w:rPr>
            </w:pPr>
            <w:r w:rsidRPr="00C54C1E">
              <w:t xml:space="preserve">Стоимость оказания услуги, </w:t>
            </w:r>
            <w:r w:rsidRPr="00C54C1E">
              <w:rPr>
                <w:lang w:val="en-US"/>
              </w:rPr>
              <w:t>BYN</w:t>
            </w:r>
            <w:r w:rsidRPr="00C54C1E">
              <w:t xml:space="preserve"> в год </w:t>
            </w:r>
            <w:r w:rsidR="00D270D1">
              <w:t>с НДС*</w:t>
            </w:r>
          </w:p>
        </w:tc>
      </w:tr>
      <w:tr w:rsidR="00C54C1E" w:rsidRPr="00C54C1E" w:rsidTr="00BE1F9A">
        <w:trPr>
          <w:trHeight w:val="513"/>
        </w:trPr>
        <w:tc>
          <w:tcPr>
            <w:tcW w:w="1132" w:type="pct"/>
            <w:vAlign w:val="center"/>
          </w:tcPr>
          <w:p w:rsidR="00C54C1E" w:rsidRPr="00C54C1E" w:rsidRDefault="00C54C1E" w:rsidP="00C54C1E">
            <w:pPr>
              <w:rPr>
                <w:bCs/>
              </w:rPr>
            </w:pPr>
            <w:r w:rsidRPr="00C54C1E">
              <w:rPr>
                <w:bCs/>
              </w:rPr>
              <w:t>Мониторинг социальных медиа и СМИ для анализа упоминаний бренда в интернете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C1E" w:rsidRPr="00C54C1E" w:rsidRDefault="00C54C1E" w:rsidP="00C54C1E">
            <w:pPr>
              <w:rPr>
                <w:color w:val="000000"/>
              </w:rPr>
            </w:pPr>
            <w:r w:rsidRPr="00C54C1E">
              <w:rPr>
                <w:color w:val="000000"/>
              </w:rPr>
              <w:t>Использование системы сканирования интернет-пространства для мониторинга социальных медиа и СМИ (в течение месяца)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</w:tr>
      <w:tr w:rsidR="00C54C1E" w:rsidRPr="00C54C1E" w:rsidTr="00BE1F9A">
        <w:trPr>
          <w:trHeight w:val="513"/>
        </w:trPr>
        <w:tc>
          <w:tcPr>
            <w:tcW w:w="1132" w:type="pct"/>
            <w:vMerge w:val="restart"/>
            <w:vAlign w:val="center"/>
          </w:tcPr>
          <w:p w:rsidR="00C54C1E" w:rsidRPr="00C54C1E" w:rsidRDefault="00C54C1E" w:rsidP="00C54C1E">
            <w:pPr>
              <w:rPr>
                <w:bCs/>
                <w:color w:val="000000"/>
              </w:rPr>
            </w:pPr>
            <w:r w:rsidRPr="00C54C1E">
              <w:rPr>
                <w:bCs/>
                <w:color w:val="000000"/>
              </w:rPr>
              <w:t>Сопровождение проекта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C1E" w:rsidRPr="00C54C1E" w:rsidRDefault="00C54C1E" w:rsidP="00C54C1E">
            <w:pPr>
              <w:rPr>
                <w:color w:val="000000"/>
              </w:rPr>
            </w:pPr>
            <w:r w:rsidRPr="00C54C1E">
              <w:rPr>
                <w:color w:val="000000"/>
              </w:rPr>
              <w:t>Подготовка еженедельного отчета с выводами о качественных и количественных упоминаниях бренда и ТОП-5 конкурентов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</w:tr>
      <w:tr w:rsidR="00C54C1E" w:rsidRPr="00C54C1E" w:rsidTr="00BE1F9A">
        <w:trPr>
          <w:trHeight w:val="513"/>
        </w:trPr>
        <w:tc>
          <w:tcPr>
            <w:tcW w:w="1132" w:type="pct"/>
            <w:vMerge/>
            <w:vAlign w:val="center"/>
          </w:tcPr>
          <w:p w:rsidR="00C54C1E" w:rsidRPr="00C54C1E" w:rsidRDefault="00C54C1E" w:rsidP="00C54C1E">
            <w:pPr>
              <w:rPr>
                <w:bCs/>
                <w:color w:val="00000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54C1E" w:rsidRPr="00C54C1E" w:rsidRDefault="00C54C1E" w:rsidP="00C54C1E">
            <w:pPr>
              <w:rPr>
                <w:color w:val="000000"/>
              </w:rPr>
            </w:pPr>
            <w:r w:rsidRPr="00C54C1E">
              <w:rPr>
                <w:color w:val="000000"/>
              </w:rPr>
              <w:t>Подготовка ежемесячного отчета с выводами по результатам работ и динамике изменений репутации ОАО «БПС-Сбербанк» и ТОП-5 конкурентов в интернете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</w:tr>
      <w:tr w:rsidR="00C54C1E" w:rsidRPr="00C54C1E" w:rsidTr="00BE1F9A">
        <w:trPr>
          <w:trHeight w:val="513"/>
        </w:trPr>
        <w:tc>
          <w:tcPr>
            <w:tcW w:w="1132" w:type="pct"/>
            <w:vMerge/>
            <w:vAlign w:val="center"/>
          </w:tcPr>
          <w:p w:rsidR="00C54C1E" w:rsidRPr="00C54C1E" w:rsidRDefault="00C54C1E" w:rsidP="00C54C1E">
            <w:pPr>
              <w:rPr>
                <w:bCs/>
                <w:color w:val="00000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54C1E" w:rsidRPr="00C54C1E" w:rsidRDefault="00C54C1E" w:rsidP="00C54C1E">
            <w:pPr>
              <w:rPr>
                <w:color w:val="000000"/>
              </w:rPr>
            </w:pPr>
            <w:r w:rsidRPr="00C54C1E">
              <w:rPr>
                <w:color w:val="000000"/>
              </w:rPr>
              <w:t xml:space="preserve">Подготовка ежеквартального отчета с выводами по результатам работ и динамике </w:t>
            </w:r>
            <w:r w:rsidRPr="00C54C1E">
              <w:rPr>
                <w:color w:val="000000"/>
              </w:rPr>
              <w:lastRenderedPageBreak/>
              <w:t>изменений репутации ОАО «БПС-Сбербанк» и ТОП-5 конкурентов в интернете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</w:tr>
      <w:tr w:rsidR="00C54C1E" w:rsidRPr="00C54C1E" w:rsidTr="00BE1F9A">
        <w:trPr>
          <w:trHeight w:val="1292"/>
        </w:trPr>
        <w:tc>
          <w:tcPr>
            <w:tcW w:w="1132" w:type="pct"/>
            <w:vAlign w:val="center"/>
          </w:tcPr>
          <w:p w:rsidR="00C54C1E" w:rsidRPr="00C54C1E" w:rsidRDefault="00C54C1E" w:rsidP="00C54C1E">
            <w:pPr>
              <w:rPr>
                <w:color w:val="000000"/>
              </w:rPr>
            </w:pPr>
            <w:r w:rsidRPr="00C54C1E">
              <w:rPr>
                <w:bCs/>
                <w:color w:val="000000"/>
              </w:rPr>
              <w:t>Реагирование на отзывы/обращения клиентов в интернете на площадках в соответствии с п.1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C1E" w:rsidRPr="00C54C1E" w:rsidRDefault="00C54C1E" w:rsidP="00C54C1E">
            <w:pPr>
              <w:rPr>
                <w:color w:val="000000"/>
              </w:rPr>
            </w:pPr>
            <w:r w:rsidRPr="00C54C1E">
              <w:t>Ежедневный мониторинг популярных порталов согласно п.1. Передача выявленных отзывов в Центр клиентской поддержки. Размещение от официального аккаунта ответа, полученного на отзыв/обращение от банка.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</w:tr>
      <w:tr w:rsidR="00C54C1E" w:rsidRPr="00C54C1E" w:rsidTr="00BE1F9A">
        <w:trPr>
          <w:trHeight w:val="459"/>
        </w:trPr>
        <w:tc>
          <w:tcPr>
            <w:tcW w:w="1132" w:type="pct"/>
            <w:vAlign w:val="center"/>
          </w:tcPr>
          <w:p w:rsidR="00C54C1E" w:rsidRPr="00C54C1E" w:rsidRDefault="00C54C1E" w:rsidP="00C54C1E">
            <w:pPr>
              <w:rPr>
                <w:bCs/>
                <w:color w:val="000000"/>
              </w:rPr>
            </w:pPr>
            <w:r w:rsidRPr="00C54C1E">
              <w:rPr>
                <w:bCs/>
                <w:color w:val="000000"/>
              </w:rPr>
              <w:t>Формирование позитивного имиджа банка агентами влияния через размещение отзывов в сети Интернет (вспомогательный инструмент для создания позитивного фона о Банке)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C54C1E" w:rsidRPr="00C54C1E" w:rsidRDefault="00C54C1E" w:rsidP="00C54C1E">
            <w:pPr>
              <w:rPr>
                <w:color w:val="000000"/>
              </w:rPr>
            </w:pPr>
            <w:r w:rsidRPr="00C54C1E">
              <w:rPr>
                <w:color w:val="000000"/>
              </w:rPr>
              <w:t>Копирайтинг сообщений. Согласование сообщений.</w:t>
            </w:r>
            <w:r w:rsidRPr="00C54C1E">
              <w:rPr>
                <w:color w:val="000000"/>
              </w:rPr>
              <w:br/>
              <w:t>Публикация сообщений.</w:t>
            </w:r>
            <w:r w:rsidRPr="00C54C1E">
              <w:rPr>
                <w:color w:val="000000"/>
              </w:rPr>
              <w:br/>
              <w:t>Отслеживание новых упоминаний и отзывов на площадках, с целью создания позитивного фона о Банке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  <w:r w:rsidRPr="00C54C1E">
              <w:rPr>
                <w:color w:val="000000"/>
              </w:rPr>
              <w:t xml:space="preserve">Не менее 100 </w:t>
            </w:r>
            <w:r w:rsidRPr="00C54C1E">
              <w:rPr>
                <w:color w:val="000000"/>
              </w:rPr>
              <w:br/>
              <w:t xml:space="preserve">сообщений </w:t>
            </w:r>
            <w:r w:rsidRPr="00C54C1E">
              <w:rPr>
                <w:color w:val="000000"/>
              </w:rPr>
              <w:br/>
              <w:t>ежемесячно,</w:t>
            </w:r>
            <w:r w:rsidRPr="00C54C1E">
              <w:rPr>
                <w:color w:val="000000"/>
              </w:rPr>
              <w:br/>
              <w:t xml:space="preserve"> не менее 35 агентов</w:t>
            </w:r>
            <w:r w:rsidRPr="00C54C1E">
              <w:rPr>
                <w:color w:val="000000"/>
              </w:rPr>
              <w:br/>
              <w:t xml:space="preserve"> влияния</w:t>
            </w:r>
          </w:p>
        </w:tc>
        <w:tc>
          <w:tcPr>
            <w:tcW w:w="965" w:type="pct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jc w:val="center"/>
              <w:rPr>
                <w:color w:val="000000"/>
              </w:rPr>
            </w:pPr>
          </w:p>
        </w:tc>
      </w:tr>
      <w:tr w:rsidR="00C54C1E" w:rsidRPr="00C54C1E" w:rsidTr="00BE1F9A">
        <w:trPr>
          <w:trHeight w:val="365"/>
        </w:trPr>
        <w:tc>
          <w:tcPr>
            <w:tcW w:w="3166" w:type="pct"/>
            <w:gridSpan w:val="3"/>
          </w:tcPr>
          <w:p w:rsidR="00C54C1E" w:rsidRPr="00C54C1E" w:rsidRDefault="00C54C1E" w:rsidP="00C54C1E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C54C1E">
              <w:rPr>
                <w:b/>
                <w:bCs/>
                <w:color w:val="000000"/>
              </w:rPr>
              <w:t xml:space="preserve">Итого </w:t>
            </w:r>
            <w:r w:rsidRPr="00C54C1E">
              <w:rPr>
                <w:b/>
                <w:bCs/>
                <w:color w:val="000000"/>
                <w:lang w:val="en-US"/>
              </w:rPr>
              <w:t>BYN</w:t>
            </w:r>
            <w:r w:rsidRPr="00C54C1E">
              <w:rPr>
                <w:b/>
                <w:bCs/>
                <w:color w:val="000000"/>
              </w:rPr>
              <w:t>, с НДС:</w:t>
            </w:r>
          </w:p>
        </w:tc>
        <w:tc>
          <w:tcPr>
            <w:tcW w:w="965" w:type="pct"/>
          </w:tcPr>
          <w:p w:rsidR="00C54C1E" w:rsidRPr="00C54C1E" w:rsidRDefault="00C54C1E" w:rsidP="00C54C1E">
            <w:pPr>
              <w:rPr>
                <w:b/>
                <w:bCs/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rPr>
                <w:b/>
                <w:bCs/>
                <w:color w:val="000000"/>
              </w:rPr>
            </w:pPr>
          </w:p>
        </w:tc>
      </w:tr>
    </w:tbl>
    <w:p w:rsidR="00C54C1E" w:rsidRDefault="00C54C1E">
      <w:pPr>
        <w:spacing w:after="200" w:line="276" w:lineRule="auto"/>
        <w:rPr>
          <w:sz w:val="26"/>
          <w:szCs w:val="26"/>
        </w:rPr>
      </w:pPr>
    </w:p>
    <w:p w:rsidR="00D270D1" w:rsidRPr="00D270D1" w:rsidRDefault="00D270D1" w:rsidP="00D270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*- участники</w:t>
      </w:r>
      <w:r w:rsidRPr="00D270D1">
        <w:rPr>
          <w:sz w:val="26"/>
          <w:szCs w:val="26"/>
        </w:rPr>
        <w:t xml:space="preserve">, освобожденные от уплаты НДС, указывают стоимость без НДС. </w:t>
      </w:r>
      <w:r w:rsidRPr="00D270D1">
        <w:rPr>
          <w:sz w:val="26"/>
          <w:szCs w:val="26"/>
        </w:rPr>
        <w:br w:type="page"/>
      </w:r>
    </w:p>
    <w:p w:rsidR="00D270D1" w:rsidRDefault="00D270D1">
      <w:pPr>
        <w:spacing w:after="200" w:line="276" w:lineRule="auto"/>
        <w:rPr>
          <w:sz w:val="26"/>
          <w:szCs w:val="26"/>
        </w:rPr>
      </w:pPr>
    </w:p>
    <w:p w:rsidR="00C54C1E" w:rsidRPr="00447D70" w:rsidRDefault="00C54C1E" w:rsidP="00C54C1E">
      <w:pPr>
        <w:jc w:val="right"/>
        <w:rPr>
          <w:sz w:val="28"/>
          <w:szCs w:val="28"/>
        </w:rPr>
      </w:pPr>
      <w:r w:rsidRPr="00447D7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47D70">
        <w:rPr>
          <w:sz w:val="28"/>
          <w:szCs w:val="28"/>
        </w:rPr>
        <w:t>2 к Приглашению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center"/>
        <w:rPr>
          <w:sz w:val="28"/>
          <w:szCs w:val="28"/>
        </w:rPr>
      </w:pPr>
      <w:r w:rsidRPr="00447D70">
        <w:rPr>
          <w:sz w:val="28"/>
          <w:szCs w:val="28"/>
        </w:rPr>
        <w:t>СОГЛАСИЕ НА ПРЕДОСТАВЛЕНИЕ СВЕДЕНИЙ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both"/>
        <w:rPr>
          <w:sz w:val="28"/>
          <w:szCs w:val="28"/>
        </w:rPr>
      </w:pPr>
      <w:r w:rsidRPr="00447D70">
        <w:rPr>
          <w:sz w:val="28"/>
          <w:szCs w:val="28"/>
        </w:rPr>
        <w:t xml:space="preserve">Я, _______________________________________________________________, 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  <w:r w:rsidRPr="00447D70">
        <w:rPr>
          <w:sz w:val="28"/>
          <w:szCs w:val="28"/>
        </w:rPr>
        <w:t>(ФИО)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  <w:r w:rsidRPr="00447D70">
        <w:rPr>
          <w:sz w:val="28"/>
          <w:szCs w:val="28"/>
        </w:rPr>
        <w:t>дата рождения_____________, идентификационный (личный) номер документа, удостоверяющего личность</w:t>
      </w:r>
      <w:r w:rsidRPr="00447D70">
        <w:rPr>
          <w:rFonts w:ascii="Calibri" w:hAnsi="Calibri"/>
          <w:sz w:val="28"/>
          <w:szCs w:val="28"/>
        </w:rPr>
        <w:t>¹</w:t>
      </w:r>
      <w:r w:rsidRPr="00447D70">
        <w:rPr>
          <w:sz w:val="28"/>
          <w:szCs w:val="28"/>
        </w:rPr>
        <w:t>, ______________________________, выражаю согласие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Беларусь.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both"/>
        <w:rPr>
          <w:sz w:val="28"/>
          <w:szCs w:val="28"/>
        </w:rPr>
      </w:pPr>
      <w:r>
        <w:rPr>
          <w:sz w:val="28"/>
          <w:szCs w:val="28"/>
        </w:rPr>
        <w:t>___.___.20___ г.</w:t>
      </w:r>
      <w:r>
        <w:rPr>
          <w:sz w:val="28"/>
          <w:szCs w:val="28"/>
        </w:rPr>
        <w:tab/>
        <w:t xml:space="preserve">                    </w:t>
      </w:r>
      <w:r w:rsidRPr="00447D70">
        <w:rPr>
          <w:sz w:val="28"/>
          <w:szCs w:val="28"/>
        </w:rPr>
        <w:t>(подпись)</w:t>
      </w:r>
      <w:r w:rsidRPr="00447D70">
        <w:rPr>
          <w:sz w:val="28"/>
          <w:szCs w:val="28"/>
        </w:rPr>
        <w:tab/>
      </w:r>
      <w:r w:rsidRPr="00447D7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447D70">
        <w:rPr>
          <w:sz w:val="28"/>
          <w:szCs w:val="28"/>
        </w:rPr>
        <w:t xml:space="preserve">       (фамилия и инициалы)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both"/>
        <w:rPr>
          <w:sz w:val="22"/>
          <w:szCs w:val="28"/>
        </w:rPr>
      </w:pPr>
      <w:r w:rsidRPr="00447D70">
        <w:rPr>
          <w:sz w:val="28"/>
          <w:szCs w:val="28"/>
        </w:rPr>
        <w:t xml:space="preserve"> </w:t>
      </w:r>
      <w:r w:rsidRPr="00447D70">
        <w:rPr>
          <w:rFonts w:ascii="Calibri" w:hAnsi="Calibri"/>
          <w:sz w:val="28"/>
          <w:szCs w:val="28"/>
        </w:rPr>
        <w:t>¹</w:t>
      </w:r>
      <w:r w:rsidRPr="00447D70">
        <w:rPr>
          <w:sz w:val="28"/>
          <w:szCs w:val="28"/>
        </w:rPr>
        <w:t xml:space="preserve"> </w:t>
      </w:r>
      <w:r w:rsidRPr="00447D70">
        <w:rPr>
          <w:sz w:val="22"/>
          <w:szCs w:val="28"/>
        </w:rPr>
        <w:t>Указывается идентификационный номер документа удостоверяющего личность (идентификационный номер паспорта гражданина Республики Беларусь либо вида на жительство в Республике Беларусь либо номер удостоверение беженца)</w:t>
      </w:r>
    </w:p>
    <w:p w:rsidR="00C54C1E" w:rsidRPr="00447D70" w:rsidRDefault="00C54C1E" w:rsidP="00C54C1E">
      <w:pPr>
        <w:jc w:val="both"/>
        <w:rPr>
          <w:sz w:val="22"/>
          <w:szCs w:val="28"/>
        </w:rPr>
      </w:pPr>
    </w:p>
    <w:p w:rsidR="00C54C1E" w:rsidRDefault="00C54C1E" w:rsidP="00C54C1E">
      <w:pPr>
        <w:jc w:val="both"/>
        <w:rPr>
          <w:sz w:val="28"/>
          <w:szCs w:val="28"/>
        </w:rPr>
      </w:pPr>
    </w:p>
    <w:p w:rsidR="00C54C1E" w:rsidRDefault="00C54C1E" w:rsidP="00C02EC9">
      <w:pPr>
        <w:ind w:firstLine="708"/>
        <w:jc w:val="both"/>
        <w:rPr>
          <w:sz w:val="26"/>
          <w:szCs w:val="26"/>
        </w:rPr>
        <w:sectPr w:rsidR="00C54C1E" w:rsidSect="0046254B">
          <w:headerReference w:type="default" r:id="rId14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C54C1E" w:rsidRPr="00C54C1E" w:rsidRDefault="00C54C1E" w:rsidP="00C54C1E">
      <w:pPr>
        <w:widowControl w:val="0"/>
        <w:kinsoku w:val="0"/>
        <w:overflowPunct w:val="0"/>
        <w:autoSpaceDE w:val="0"/>
        <w:autoSpaceDN w:val="0"/>
        <w:adjustRightInd w:val="0"/>
        <w:ind w:left="10800"/>
        <w:jc w:val="right"/>
        <w:rPr>
          <w:rFonts w:eastAsiaTheme="minorEastAsia"/>
          <w:sz w:val="28"/>
          <w:szCs w:val="28"/>
        </w:rPr>
      </w:pPr>
      <w:r w:rsidRPr="00C54C1E">
        <w:rPr>
          <w:rFonts w:eastAsiaTheme="minorEastAsia"/>
          <w:sz w:val="28"/>
          <w:szCs w:val="28"/>
        </w:rPr>
        <w:lastRenderedPageBreak/>
        <w:t>Приложение № 3 к Приглашению</w:t>
      </w:r>
    </w:p>
    <w:p w:rsidR="00C54C1E" w:rsidRPr="00C54C1E" w:rsidRDefault="00C54C1E" w:rsidP="00C54C1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Theme="minorEastAsia"/>
        </w:rPr>
      </w:pPr>
    </w:p>
    <w:p w:rsidR="00C54C1E" w:rsidRPr="00C54C1E" w:rsidRDefault="00C54C1E" w:rsidP="00C54C1E">
      <w:pPr>
        <w:widowControl w:val="0"/>
        <w:kinsoku w:val="0"/>
        <w:overflowPunct w:val="0"/>
        <w:autoSpaceDE w:val="0"/>
        <w:autoSpaceDN w:val="0"/>
        <w:adjustRightInd w:val="0"/>
        <w:spacing w:before="44"/>
        <w:ind w:right="17"/>
        <w:jc w:val="center"/>
        <w:rPr>
          <w:rFonts w:eastAsiaTheme="minorEastAsia"/>
          <w:spacing w:val="-1"/>
          <w:sz w:val="28"/>
          <w:szCs w:val="28"/>
        </w:rPr>
      </w:pPr>
      <w:r w:rsidRPr="00C54C1E">
        <w:rPr>
          <w:rFonts w:eastAsiaTheme="minorEastAsia"/>
          <w:spacing w:val="-1"/>
          <w:sz w:val="28"/>
          <w:szCs w:val="28"/>
        </w:rPr>
        <w:t>Сведения</w:t>
      </w:r>
      <w:r w:rsidRPr="00C54C1E">
        <w:rPr>
          <w:rFonts w:eastAsiaTheme="minorEastAsia"/>
          <w:spacing w:val="-3"/>
          <w:sz w:val="28"/>
          <w:szCs w:val="28"/>
        </w:rPr>
        <w:t xml:space="preserve"> </w:t>
      </w:r>
      <w:r w:rsidRPr="00C54C1E">
        <w:rPr>
          <w:rFonts w:eastAsiaTheme="minorEastAsia"/>
          <w:sz w:val="28"/>
          <w:szCs w:val="28"/>
        </w:rPr>
        <w:t>об участнике</w:t>
      </w:r>
    </w:p>
    <w:p w:rsidR="00C54C1E" w:rsidRPr="00C54C1E" w:rsidRDefault="00C54C1E" w:rsidP="00C54C1E">
      <w:pPr>
        <w:widowControl w:val="0"/>
        <w:kinsoku w:val="0"/>
        <w:overflowPunct w:val="0"/>
        <w:autoSpaceDE w:val="0"/>
        <w:autoSpaceDN w:val="0"/>
        <w:adjustRightInd w:val="0"/>
        <w:spacing w:before="12"/>
        <w:rPr>
          <w:rFonts w:eastAsiaTheme="minorEastAsia"/>
        </w:rPr>
      </w:pPr>
    </w:p>
    <w:tbl>
      <w:tblPr>
        <w:tblW w:w="15641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1560"/>
        <w:gridCol w:w="1984"/>
        <w:gridCol w:w="2126"/>
        <w:gridCol w:w="3544"/>
        <w:gridCol w:w="2268"/>
        <w:gridCol w:w="1985"/>
      </w:tblGrid>
      <w:tr w:rsidR="00C54C1E" w:rsidRPr="00C54C1E" w:rsidTr="00C54C1E">
        <w:trPr>
          <w:trHeight w:val="109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7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  <w:spacing w:val="-1"/>
              </w:rPr>
              <w:t>Наименование</w:t>
            </w:r>
            <w:r w:rsidRPr="00C54C1E">
              <w:rPr>
                <w:rFonts w:eastAsiaTheme="minorEastAsia"/>
                <w:spacing w:val="-2"/>
              </w:rPr>
              <w:t xml:space="preserve"> </w:t>
            </w:r>
            <w:r w:rsidRPr="00C54C1E">
              <w:rPr>
                <w:rFonts w:eastAsiaTheme="minorEastAsia"/>
                <w:spacing w:val="-1"/>
              </w:rPr>
              <w:t>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</w:rPr>
              <w:t>УНП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 w:right="108" w:firstLine="172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  <w:spacing w:val="-1"/>
              </w:rPr>
              <w:t>Дата</w:t>
            </w:r>
            <w:r w:rsidRPr="00C54C1E">
              <w:rPr>
                <w:rFonts w:eastAsiaTheme="minorEastAsia"/>
              </w:rPr>
              <w:t xml:space="preserve"> </w:t>
            </w:r>
            <w:r w:rsidRPr="00C54C1E">
              <w:rPr>
                <w:rFonts w:eastAsiaTheme="minorEastAsia"/>
                <w:spacing w:val="-1"/>
              </w:rPr>
              <w:t xml:space="preserve">государственной </w:t>
            </w:r>
            <w:r w:rsidRPr="00C54C1E">
              <w:rPr>
                <w:rFonts w:eastAsiaTheme="minorEastAsia"/>
                <w:spacing w:val="26"/>
              </w:rPr>
              <w:t xml:space="preserve"> </w:t>
            </w:r>
            <w:r w:rsidRPr="00C54C1E">
              <w:rPr>
                <w:rFonts w:eastAsiaTheme="minorEastAsia"/>
                <w:spacing w:val="-1"/>
              </w:rPr>
              <w:t>регистрации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  <w:spacing w:val="-1"/>
              </w:rPr>
              <w:t>Местонахождение участника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eastAsiaTheme="minorEastAsia"/>
                <w:spacing w:val="-1"/>
              </w:rPr>
            </w:pPr>
            <w:r w:rsidRPr="00C54C1E">
              <w:rPr>
                <w:rFonts w:eastAsiaTheme="minorEastAsia"/>
                <w:spacing w:val="-1"/>
              </w:rPr>
              <w:t>Ф.И.О</w:t>
            </w:r>
          </w:p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  <w:spacing w:val="-1"/>
              </w:rPr>
              <w:t>Руководителя (лица уполномоченного на заключение договора), число, месяц, год рождения, интификационный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2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  <w:spacing w:val="-1"/>
              </w:rPr>
              <w:t>Сфера</w:t>
            </w:r>
            <w:r w:rsidRPr="00C54C1E">
              <w:rPr>
                <w:rFonts w:eastAsiaTheme="minorEastAsia"/>
              </w:rPr>
              <w:t xml:space="preserve"> </w:t>
            </w:r>
            <w:r w:rsidRPr="00C54C1E">
              <w:rPr>
                <w:rFonts w:eastAsiaTheme="minorEastAsia"/>
                <w:spacing w:val="-1"/>
              </w:rPr>
              <w:t>деятельности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1" w:right="133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</w:rPr>
              <w:t>Иная информация</w:t>
            </w:r>
          </w:p>
        </w:tc>
      </w:tr>
      <w:tr w:rsidR="00C54C1E" w:rsidRPr="00C54C1E" w:rsidTr="00C54C1E">
        <w:trPr>
          <w:trHeight w:val="109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7"/>
              <w:jc w:val="center"/>
              <w:rPr>
                <w:rFonts w:eastAsiaTheme="minorEastAsia"/>
                <w:spacing w:val="-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 w:right="108" w:firstLine="172"/>
              <w:jc w:val="center"/>
              <w:rPr>
                <w:rFonts w:eastAsiaTheme="minorEastAsia"/>
                <w:spacing w:val="-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eastAsiaTheme="minorEastAsia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2"/>
              <w:jc w:val="center"/>
              <w:rPr>
                <w:rFonts w:eastAsiaTheme="minorEastAsia"/>
                <w:spacing w:val="-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1" w:right="133"/>
              <w:jc w:val="center"/>
              <w:rPr>
                <w:rFonts w:eastAsiaTheme="minorEastAsia"/>
              </w:rPr>
            </w:pPr>
          </w:p>
        </w:tc>
      </w:tr>
    </w:tbl>
    <w:p w:rsidR="00C54C1E" w:rsidRDefault="00C54C1E" w:rsidP="00C02EC9">
      <w:pPr>
        <w:ind w:firstLine="708"/>
        <w:jc w:val="both"/>
        <w:sectPr w:rsidR="00C54C1E" w:rsidSect="00C54C1E">
          <w:pgSz w:w="16838" w:h="11906" w:orient="landscape"/>
          <w:pgMar w:top="1418" w:right="1134" w:bottom="567" w:left="709" w:header="709" w:footer="709" w:gutter="0"/>
          <w:cols w:space="708"/>
          <w:titlePg/>
          <w:docGrid w:linePitch="360"/>
        </w:sectPr>
      </w:pPr>
    </w:p>
    <w:p w:rsidR="00E0682E" w:rsidRDefault="00C54C1E" w:rsidP="00C54C1E">
      <w:pPr>
        <w:ind w:firstLine="708"/>
        <w:jc w:val="right"/>
        <w:rPr>
          <w:sz w:val="28"/>
          <w:szCs w:val="28"/>
        </w:rPr>
      </w:pPr>
      <w:r w:rsidRPr="00C54C1E">
        <w:rPr>
          <w:sz w:val="28"/>
          <w:szCs w:val="28"/>
        </w:rPr>
        <w:lastRenderedPageBreak/>
        <w:t>Приложение №4 к Приглашению</w:t>
      </w:r>
    </w:p>
    <w:p w:rsidR="00C54C1E" w:rsidRDefault="00C54C1E" w:rsidP="00C54C1E">
      <w:pPr>
        <w:ind w:firstLine="708"/>
        <w:jc w:val="right"/>
        <w:rPr>
          <w:sz w:val="28"/>
          <w:szCs w:val="28"/>
        </w:rPr>
      </w:pPr>
    </w:p>
    <w:p w:rsidR="00C54C1E" w:rsidRDefault="00C54C1E" w:rsidP="00C54C1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Антикоррупционная оговорка</w:t>
      </w:r>
    </w:p>
    <w:p w:rsidR="00C54C1E" w:rsidRDefault="00C54C1E" w:rsidP="00C54C1E">
      <w:pPr>
        <w:ind w:firstLine="708"/>
        <w:jc w:val="center"/>
        <w:rPr>
          <w:sz w:val="28"/>
          <w:szCs w:val="28"/>
        </w:rPr>
      </w:pP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При заключении, исполнении, изменении и расторжении Договора</w:t>
      </w:r>
      <w:r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принимают на себя следующие обязательства: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C54C1E" w:rsidRPr="00642E12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C54C1E" w:rsidRPr="00C54C1E" w:rsidRDefault="00C54C1E" w:rsidP="00C54C1E">
      <w:pPr>
        <w:ind w:firstLine="708"/>
        <w:jc w:val="both"/>
        <w:rPr>
          <w:sz w:val="28"/>
          <w:szCs w:val="28"/>
        </w:rPr>
      </w:pPr>
    </w:p>
    <w:sectPr w:rsidR="00C54C1E" w:rsidRPr="00C54C1E" w:rsidSect="00C54C1E"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6F" w:rsidRDefault="00B74D6F" w:rsidP="004A5CF6">
      <w:r>
        <w:separator/>
      </w:r>
    </w:p>
  </w:endnote>
  <w:endnote w:type="continuationSeparator" w:id="0">
    <w:p w:rsidR="00B74D6F" w:rsidRDefault="00B74D6F" w:rsidP="004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6F" w:rsidRDefault="00B74D6F" w:rsidP="004A5CF6">
      <w:r>
        <w:separator/>
      </w:r>
    </w:p>
  </w:footnote>
  <w:footnote w:type="continuationSeparator" w:id="0">
    <w:p w:rsidR="00B74D6F" w:rsidRDefault="00B74D6F" w:rsidP="004A5CF6">
      <w:r>
        <w:continuationSeparator/>
      </w:r>
    </w:p>
  </w:footnote>
  <w:footnote w:id="1">
    <w:p w:rsidR="00C54C1E" w:rsidRDefault="00C54C1E" w:rsidP="00C54C1E">
      <w:pPr>
        <w:pStyle w:val="af"/>
        <w:jc w:val="both"/>
      </w:pPr>
      <w:r>
        <w:rPr>
          <w:rStyle w:val="af1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099839"/>
      <w:docPartObj>
        <w:docPartGallery w:val="Page Numbers (Top of Page)"/>
        <w:docPartUnique/>
      </w:docPartObj>
    </w:sdtPr>
    <w:sdtEndPr/>
    <w:sdtContent>
      <w:p w:rsidR="004A5CF6" w:rsidRDefault="004A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C5">
          <w:rPr>
            <w:noProof/>
          </w:rPr>
          <w:t>4</w:t>
        </w:r>
        <w:r>
          <w:fldChar w:fldCharType="end"/>
        </w:r>
      </w:p>
    </w:sdtContent>
  </w:sdt>
  <w:p w:rsidR="004A5CF6" w:rsidRDefault="004A5C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89B"/>
    <w:multiLevelType w:val="hybridMultilevel"/>
    <w:tmpl w:val="221CE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72C0"/>
    <w:multiLevelType w:val="hybridMultilevel"/>
    <w:tmpl w:val="F5D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4F4"/>
    <w:multiLevelType w:val="hybridMultilevel"/>
    <w:tmpl w:val="F5D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0C0C"/>
    <w:multiLevelType w:val="multilevel"/>
    <w:tmpl w:val="94A88C48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47F51"/>
    <w:multiLevelType w:val="hybridMultilevel"/>
    <w:tmpl w:val="01102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1A6E"/>
    <w:multiLevelType w:val="hybridMultilevel"/>
    <w:tmpl w:val="0FF2181E"/>
    <w:lvl w:ilvl="0" w:tplc="0B306D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120E0"/>
    <w:multiLevelType w:val="hybridMultilevel"/>
    <w:tmpl w:val="E73EECB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D97804"/>
    <w:multiLevelType w:val="hybridMultilevel"/>
    <w:tmpl w:val="B7EEDE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D1187"/>
    <w:multiLevelType w:val="hybridMultilevel"/>
    <w:tmpl w:val="94423E28"/>
    <w:lvl w:ilvl="0" w:tplc="A558A40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88E23B9"/>
    <w:multiLevelType w:val="hybridMultilevel"/>
    <w:tmpl w:val="E30CC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24439"/>
    <w:multiLevelType w:val="hybridMultilevel"/>
    <w:tmpl w:val="327C3BD8"/>
    <w:lvl w:ilvl="0" w:tplc="95FA2C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162A8"/>
    <w:multiLevelType w:val="hybridMultilevel"/>
    <w:tmpl w:val="F5D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E0A14"/>
    <w:multiLevelType w:val="hybridMultilevel"/>
    <w:tmpl w:val="C3ECEBA4"/>
    <w:lvl w:ilvl="0" w:tplc="A558A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B360E"/>
    <w:multiLevelType w:val="hybridMultilevel"/>
    <w:tmpl w:val="C942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1699"/>
    <w:multiLevelType w:val="hybridMultilevel"/>
    <w:tmpl w:val="7F30DB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71239"/>
    <w:multiLevelType w:val="hybridMultilevel"/>
    <w:tmpl w:val="77903B90"/>
    <w:lvl w:ilvl="0" w:tplc="CBC02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A4C6C"/>
    <w:multiLevelType w:val="hybridMultilevel"/>
    <w:tmpl w:val="0C66E31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35"/>
    <w:rsid w:val="00004EE8"/>
    <w:rsid w:val="00006FF4"/>
    <w:rsid w:val="00010788"/>
    <w:rsid w:val="000253D9"/>
    <w:rsid w:val="00062B60"/>
    <w:rsid w:val="000709B3"/>
    <w:rsid w:val="00092F99"/>
    <w:rsid w:val="000B316C"/>
    <w:rsid w:val="000D15EB"/>
    <w:rsid w:val="000D77EB"/>
    <w:rsid w:val="000E7896"/>
    <w:rsid w:val="000F0BC8"/>
    <w:rsid w:val="000F35A5"/>
    <w:rsid w:val="0010725A"/>
    <w:rsid w:val="0011118E"/>
    <w:rsid w:val="00111EF8"/>
    <w:rsid w:val="00116E8D"/>
    <w:rsid w:val="00117916"/>
    <w:rsid w:val="0012746A"/>
    <w:rsid w:val="00133C9F"/>
    <w:rsid w:val="00140CAB"/>
    <w:rsid w:val="00147549"/>
    <w:rsid w:val="00155093"/>
    <w:rsid w:val="00171F2F"/>
    <w:rsid w:val="00172824"/>
    <w:rsid w:val="00190254"/>
    <w:rsid w:val="001A0215"/>
    <w:rsid w:val="001B1D6D"/>
    <w:rsid w:val="001B2CB6"/>
    <w:rsid w:val="001B6598"/>
    <w:rsid w:val="00214AF3"/>
    <w:rsid w:val="002274C3"/>
    <w:rsid w:val="00237E76"/>
    <w:rsid w:val="0025217C"/>
    <w:rsid w:val="00271235"/>
    <w:rsid w:val="0028435F"/>
    <w:rsid w:val="00296BA2"/>
    <w:rsid w:val="002A4C2D"/>
    <w:rsid w:val="002B7895"/>
    <w:rsid w:val="002B7F61"/>
    <w:rsid w:val="002C1D86"/>
    <w:rsid w:val="002D5F43"/>
    <w:rsid w:val="002F7F67"/>
    <w:rsid w:val="003049E8"/>
    <w:rsid w:val="00305708"/>
    <w:rsid w:val="003133B5"/>
    <w:rsid w:val="00315228"/>
    <w:rsid w:val="00336A12"/>
    <w:rsid w:val="00350D1A"/>
    <w:rsid w:val="003541EE"/>
    <w:rsid w:val="00354844"/>
    <w:rsid w:val="003550EB"/>
    <w:rsid w:val="00374B1E"/>
    <w:rsid w:val="00382167"/>
    <w:rsid w:val="0038438A"/>
    <w:rsid w:val="00393088"/>
    <w:rsid w:val="003941F0"/>
    <w:rsid w:val="003B4F64"/>
    <w:rsid w:val="003E2247"/>
    <w:rsid w:val="00400F10"/>
    <w:rsid w:val="00426359"/>
    <w:rsid w:val="00431632"/>
    <w:rsid w:val="0043744A"/>
    <w:rsid w:val="004411F4"/>
    <w:rsid w:val="00445B72"/>
    <w:rsid w:val="00447A57"/>
    <w:rsid w:val="0046254B"/>
    <w:rsid w:val="004875D4"/>
    <w:rsid w:val="00490441"/>
    <w:rsid w:val="004A1CBA"/>
    <w:rsid w:val="004A1CE9"/>
    <w:rsid w:val="004A5CF6"/>
    <w:rsid w:val="004C0D35"/>
    <w:rsid w:val="004D202E"/>
    <w:rsid w:val="004E1FC4"/>
    <w:rsid w:val="004F07FF"/>
    <w:rsid w:val="00510772"/>
    <w:rsid w:val="00560696"/>
    <w:rsid w:val="005A5534"/>
    <w:rsid w:val="005B121C"/>
    <w:rsid w:val="005B6B54"/>
    <w:rsid w:val="005B7FE2"/>
    <w:rsid w:val="005D46CC"/>
    <w:rsid w:val="005D53D2"/>
    <w:rsid w:val="005F45C1"/>
    <w:rsid w:val="006032B9"/>
    <w:rsid w:val="0062220F"/>
    <w:rsid w:val="00662DED"/>
    <w:rsid w:val="0067192F"/>
    <w:rsid w:val="006773AC"/>
    <w:rsid w:val="00681A41"/>
    <w:rsid w:val="006824EE"/>
    <w:rsid w:val="006866C2"/>
    <w:rsid w:val="006B6932"/>
    <w:rsid w:val="006D00C8"/>
    <w:rsid w:val="006F11E1"/>
    <w:rsid w:val="007045CD"/>
    <w:rsid w:val="00724EDE"/>
    <w:rsid w:val="00733E12"/>
    <w:rsid w:val="007369AE"/>
    <w:rsid w:val="00742312"/>
    <w:rsid w:val="00761C8A"/>
    <w:rsid w:val="0076578C"/>
    <w:rsid w:val="007729D6"/>
    <w:rsid w:val="00780C1B"/>
    <w:rsid w:val="0079157A"/>
    <w:rsid w:val="007B4344"/>
    <w:rsid w:val="007B585B"/>
    <w:rsid w:val="007B5D3A"/>
    <w:rsid w:val="007C3FC5"/>
    <w:rsid w:val="007C7A35"/>
    <w:rsid w:val="007D5349"/>
    <w:rsid w:val="007D7D58"/>
    <w:rsid w:val="008106E5"/>
    <w:rsid w:val="0081446D"/>
    <w:rsid w:val="00846B87"/>
    <w:rsid w:val="0087551A"/>
    <w:rsid w:val="0088322C"/>
    <w:rsid w:val="0089190C"/>
    <w:rsid w:val="0089488E"/>
    <w:rsid w:val="008A0F22"/>
    <w:rsid w:val="008B36CB"/>
    <w:rsid w:val="008B3FAE"/>
    <w:rsid w:val="008B4383"/>
    <w:rsid w:val="008C3150"/>
    <w:rsid w:val="008C6B35"/>
    <w:rsid w:val="008D288E"/>
    <w:rsid w:val="008E469B"/>
    <w:rsid w:val="008F7E12"/>
    <w:rsid w:val="0090689B"/>
    <w:rsid w:val="009135EE"/>
    <w:rsid w:val="00923037"/>
    <w:rsid w:val="009269C9"/>
    <w:rsid w:val="00926E65"/>
    <w:rsid w:val="00930F57"/>
    <w:rsid w:val="00932367"/>
    <w:rsid w:val="00933C9B"/>
    <w:rsid w:val="00936917"/>
    <w:rsid w:val="00943BC7"/>
    <w:rsid w:val="00947E16"/>
    <w:rsid w:val="00952BAA"/>
    <w:rsid w:val="00962EAC"/>
    <w:rsid w:val="009673A9"/>
    <w:rsid w:val="00972B20"/>
    <w:rsid w:val="00992B90"/>
    <w:rsid w:val="009A1D80"/>
    <w:rsid w:val="009A4BB2"/>
    <w:rsid w:val="009B337D"/>
    <w:rsid w:val="009B7B5C"/>
    <w:rsid w:val="009C006C"/>
    <w:rsid w:val="009C23ED"/>
    <w:rsid w:val="009D0B3D"/>
    <w:rsid w:val="009D2163"/>
    <w:rsid w:val="009F63CC"/>
    <w:rsid w:val="00A1461E"/>
    <w:rsid w:val="00A34C1A"/>
    <w:rsid w:val="00A441D8"/>
    <w:rsid w:val="00A46D8B"/>
    <w:rsid w:val="00A57CAB"/>
    <w:rsid w:val="00A6418C"/>
    <w:rsid w:val="00A678C5"/>
    <w:rsid w:val="00A81D16"/>
    <w:rsid w:val="00A91FDC"/>
    <w:rsid w:val="00A92FD2"/>
    <w:rsid w:val="00A9677C"/>
    <w:rsid w:val="00AA7402"/>
    <w:rsid w:val="00AC136B"/>
    <w:rsid w:val="00AE0138"/>
    <w:rsid w:val="00AE5282"/>
    <w:rsid w:val="00AE696A"/>
    <w:rsid w:val="00AF0572"/>
    <w:rsid w:val="00AF2BA9"/>
    <w:rsid w:val="00AF3F7C"/>
    <w:rsid w:val="00B0175D"/>
    <w:rsid w:val="00B10E99"/>
    <w:rsid w:val="00B32DE7"/>
    <w:rsid w:val="00B345B1"/>
    <w:rsid w:val="00B5212C"/>
    <w:rsid w:val="00B61283"/>
    <w:rsid w:val="00B67DF7"/>
    <w:rsid w:val="00B74D6F"/>
    <w:rsid w:val="00B76BD2"/>
    <w:rsid w:val="00B775E4"/>
    <w:rsid w:val="00B85F9A"/>
    <w:rsid w:val="00B86CD7"/>
    <w:rsid w:val="00B87377"/>
    <w:rsid w:val="00B87B54"/>
    <w:rsid w:val="00B971A1"/>
    <w:rsid w:val="00BA5274"/>
    <w:rsid w:val="00BA5D81"/>
    <w:rsid w:val="00BB131F"/>
    <w:rsid w:val="00BB56F3"/>
    <w:rsid w:val="00BB6B74"/>
    <w:rsid w:val="00BC57B2"/>
    <w:rsid w:val="00BE0FCC"/>
    <w:rsid w:val="00C02EC9"/>
    <w:rsid w:val="00C15EAC"/>
    <w:rsid w:val="00C249CD"/>
    <w:rsid w:val="00C54C1E"/>
    <w:rsid w:val="00C667A8"/>
    <w:rsid w:val="00C87DB8"/>
    <w:rsid w:val="00C94B94"/>
    <w:rsid w:val="00CC10DC"/>
    <w:rsid w:val="00CC38E5"/>
    <w:rsid w:val="00CC4AD6"/>
    <w:rsid w:val="00CD63BF"/>
    <w:rsid w:val="00CE126C"/>
    <w:rsid w:val="00CF455D"/>
    <w:rsid w:val="00CF6967"/>
    <w:rsid w:val="00D00378"/>
    <w:rsid w:val="00D004AD"/>
    <w:rsid w:val="00D00745"/>
    <w:rsid w:val="00D00EBD"/>
    <w:rsid w:val="00D270D1"/>
    <w:rsid w:val="00D31E05"/>
    <w:rsid w:val="00D40E90"/>
    <w:rsid w:val="00D46422"/>
    <w:rsid w:val="00D561D8"/>
    <w:rsid w:val="00D7215B"/>
    <w:rsid w:val="00DA44D1"/>
    <w:rsid w:val="00DB4993"/>
    <w:rsid w:val="00DC41C2"/>
    <w:rsid w:val="00DE3EC9"/>
    <w:rsid w:val="00DF3091"/>
    <w:rsid w:val="00E0682E"/>
    <w:rsid w:val="00E115C5"/>
    <w:rsid w:val="00E11E71"/>
    <w:rsid w:val="00E139D3"/>
    <w:rsid w:val="00E13F98"/>
    <w:rsid w:val="00E31031"/>
    <w:rsid w:val="00E74DFF"/>
    <w:rsid w:val="00E77526"/>
    <w:rsid w:val="00E8274E"/>
    <w:rsid w:val="00E97C3C"/>
    <w:rsid w:val="00EA08C8"/>
    <w:rsid w:val="00EA34C3"/>
    <w:rsid w:val="00EA35FD"/>
    <w:rsid w:val="00EB5DD7"/>
    <w:rsid w:val="00EC55C9"/>
    <w:rsid w:val="00ED3C55"/>
    <w:rsid w:val="00EE4099"/>
    <w:rsid w:val="00EE7B82"/>
    <w:rsid w:val="00EF5AA6"/>
    <w:rsid w:val="00EF6380"/>
    <w:rsid w:val="00F07F95"/>
    <w:rsid w:val="00F17BF6"/>
    <w:rsid w:val="00F208B7"/>
    <w:rsid w:val="00F27E6E"/>
    <w:rsid w:val="00F304B8"/>
    <w:rsid w:val="00F3136C"/>
    <w:rsid w:val="00F357A0"/>
    <w:rsid w:val="00F42AF2"/>
    <w:rsid w:val="00F71B83"/>
    <w:rsid w:val="00F8606B"/>
    <w:rsid w:val="00FC4304"/>
    <w:rsid w:val="00FC56BE"/>
    <w:rsid w:val="00FC5E18"/>
    <w:rsid w:val="00FC7A7E"/>
    <w:rsid w:val="00FD390C"/>
    <w:rsid w:val="00FD4265"/>
    <w:rsid w:val="00FE5585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9F76"/>
  <w15:docId w15:val="{5C666CD6-6885-4153-9C76-F6F16821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сновной 14+"/>
    <w:basedOn w:val="a"/>
    <w:link w:val="140"/>
    <w:rsid w:val="00BA5274"/>
    <w:pPr>
      <w:ind w:firstLine="709"/>
      <w:jc w:val="both"/>
    </w:pPr>
    <w:rPr>
      <w:sz w:val="28"/>
    </w:rPr>
  </w:style>
  <w:style w:type="character" w:customStyle="1" w:styleId="140">
    <w:name w:val="Основной 14+ Знак"/>
    <w:link w:val="14"/>
    <w:rsid w:val="00BA5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1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4F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5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274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02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07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F7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3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8B4383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8B4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B43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54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54C1E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54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5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bps-sberbank.by" TargetMode="External"/><Relationship Id="rId13" Type="http://schemas.openxmlformats.org/officeDocument/2006/relationships/hyperlink" Target="http://www.otzyvy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liner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t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fin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bank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F48D-7C3A-4F8F-B304-DE80ECB8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Володина Ольга</cp:lastModifiedBy>
  <cp:revision>60</cp:revision>
  <cp:lastPrinted>2019-08-07T09:23:00Z</cp:lastPrinted>
  <dcterms:created xsi:type="dcterms:W3CDTF">2020-12-07T06:03:00Z</dcterms:created>
  <dcterms:modified xsi:type="dcterms:W3CDTF">2021-01-26T06:30:00Z</dcterms:modified>
</cp:coreProperties>
</file>