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Pr="004118CA" w:rsidRDefault="008B71E7" w:rsidP="007E3111">
      <w:pPr>
        <w:jc w:val="center"/>
        <w:rPr>
          <w:sz w:val="28"/>
          <w:szCs w:val="28"/>
        </w:rPr>
      </w:pPr>
      <w:r w:rsidRPr="004118CA">
        <w:rPr>
          <w:sz w:val="28"/>
          <w:szCs w:val="28"/>
        </w:rPr>
        <w:t>к участию в процедуре</w:t>
      </w:r>
      <w:r w:rsidR="007E3111" w:rsidRPr="004118CA">
        <w:rPr>
          <w:sz w:val="28"/>
          <w:szCs w:val="28"/>
        </w:rPr>
        <w:t xml:space="preserve"> закупки </w:t>
      </w:r>
    </w:p>
    <w:p w:rsidR="004118CA" w:rsidRDefault="004118CA" w:rsidP="007E3111">
      <w:pPr>
        <w:jc w:val="center"/>
        <w:rPr>
          <w:sz w:val="28"/>
          <w:szCs w:val="28"/>
        </w:rPr>
      </w:pPr>
      <w:r>
        <w:rPr>
          <w:sz w:val="28"/>
          <w:szCs w:val="28"/>
        </w:rPr>
        <w:t>«Услуги по управлению репутацией ОАО «Сбер Банк»</w:t>
      </w:r>
      <w:r w:rsidRPr="00C07545">
        <w:rPr>
          <w:sz w:val="28"/>
          <w:szCs w:val="28"/>
        </w:rPr>
        <w:t xml:space="preserve">       </w:t>
      </w:r>
    </w:p>
    <w:p w:rsidR="003718D0" w:rsidRPr="007E3111" w:rsidRDefault="003718D0" w:rsidP="00DA19C8">
      <w:pPr>
        <w:tabs>
          <w:tab w:val="left" w:pos="2835"/>
        </w:tabs>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B90" w:rsidRPr="004A1CE9" w:rsidTr="00F73C42">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r w:rsidR="00F73C42">
              <w:rPr>
                <w:sz w:val="28"/>
                <w:szCs w:val="28"/>
              </w:rPr>
              <w:t>.</w:t>
            </w:r>
          </w:p>
        </w:tc>
      </w:tr>
      <w:tr w:rsidR="00C249CD" w:rsidRPr="004A1CE9" w:rsidTr="00F73C42">
        <w:tc>
          <w:tcPr>
            <w:tcW w:w="3119" w:type="dxa"/>
            <w:shd w:val="clear" w:color="auto" w:fill="auto"/>
          </w:tcPr>
          <w:p w:rsidR="00C249CD" w:rsidRPr="004A1CE9" w:rsidRDefault="00F73C42" w:rsidP="00F304B8">
            <w:pPr>
              <w:jc w:val="both"/>
              <w:rPr>
                <w:sz w:val="28"/>
                <w:szCs w:val="28"/>
              </w:rPr>
            </w:pPr>
            <w:r>
              <w:rPr>
                <w:sz w:val="28"/>
                <w:szCs w:val="28"/>
              </w:rPr>
              <w:t xml:space="preserve">Наименование и место нахождения </w:t>
            </w:r>
            <w:r w:rsidR="00C249CD" w:rsidRPr="004A1CE9">
              <w:rPr>
                <w:sz w:val="28"/>
                <w:szCs w:val="28"/>
              </w:rPr>
              <w:t>Заказчика:</w:t>
            </w:r>
          </w:p>
        </w:tc>
        <w:tc>
          <w:tcPr>
            <w:tcW w:w="6804" w:type="dxa"/>
            <w:shd w:val="clear" w:color="auto" w:fill="auto"/>
          </w:tcPr>
          <w:p w:rsidR="00C249CD" w:rsidRPr="004A1CE9" w:rsidRDefault="00F73C42"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г. Минск, бульвар имени Мулявина, 6</w:t>
            </w:r>
            <w:r w:rsidR="00F73C42">
              <w:rPr>
                <w:sz w:val="28"/>
                <w:szCs w:val="28"/>
              </w:rPr>
              <w:t>.</w:t>
            </w:r>
            <w:r w:rsidRPr="004A1CE9">
              <w:rPr>
                <w:sz w:val="28"/>
                <w:szCs w:val="28"/>
              </w:rPr>
              <w:t xml:space="preserve"> </w:t>
            </w:r>
          </w:p>
        </w:tc>
      </w:tr>
      <w:tr w:rsidR="00111EF8" w:rsidRPr="004A1CE9" w:rsidTr="00F73C42">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r w:rsidR="003718D0">
              <w:rPr>
                <w:sz w:val="28"/>
                <w:szCs w:val="28"/>
              </w:rPr>
              <w:t>:</w:t>
            </w:r>
          </w:p>
        </w:tc>
        <w:tc>
          <w:tcPr>
            <w:tcW w:w="6804" w:type="dxa"/>
            <w:shd w:val="clear" w:color="auto" w:fill="auto"/>
          </w:tcPr>
          <w:p w:rsidR="00111EF8" w:rsidRPr="0079157A" w:rsidRDefault="00890FEA" w:rsidP="00EE37E0">
            <w:pPr>
              <w:autoSpaceDE w:val="0"/>
              <w:autoSpaceDN w:val="0"/>
              <w:adjustRightInd w:val="0"/>
              <w:rPr>
                <w:sz w:val="28"/>
                <w:szCs w:val="28"/>
                <w:highlight w:val="green"/>
              </w:rPr>
            </w:pPr>
            <w:r w:rsidRPr="00A61B19">
              <w:rPr>
                <w:sz w:val="28"/>
              </w:rPr>
              <w:t>73.20.11.000</w:t>
            </w:r>
            <w:r>
              <w:rPr>
                <w:sz w:val="28"/>
              </w:rPr>
              <w:t>.</w:t>
            </w:r>
          </w:p>
        </w:tc>
      </w:tr>
      <w:tr w:rsidR="00111EF8" w:rsidRPr="004A1CE9" w:rsidTr="00F73C42">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r w:rsidR="003718D0">
              <w:rPr>
                <w:sz w:val="28"/>
                <w:szCs w:val="28"/>
              </w:rPr>
              <w:t>:</w:t>
            </w:r>
          </w:p>
        </w:tc>
        <w:tc>
          <w:tcPr>
            <w:tcW w:w="6804" w:type="dxa"/>
            <w:shd w:val="clear" w:color="auto" w:fill="auto"/>
          </w:tcPr>
          <w:p w:rsidR="00111EF8" w:rsidRPr="0079157A" w:rsidRDefault="00890FEA" w:rsidP="00467A99">
            <w:pPr>
              <w:autoSpaceDE w:val="0"/>
              <w:autoSpaceDN w:val="0"/>
              <w:adjustRightInd w:val="0"/>
              <w:jc w:val="both"/>
              <w:rPr>
                <w:sz w:val="28"/>
                <w:szCs w:val="28"/>
              </w:rPr>
            </w:pPr>
            <w:r>
              <w:rPr>
                <w:sz w:val="28"/>
              </w:rPr>
              <w:t>У</w:t>
            </w:r>
            <w:r w:rsidRPr="00A61B19">
              <w:rPr>
                <w:sz w:val="28"/>
              </w:rPr>
              <w:t>слуги по проведению качественных исследований конъюнктуры рынка</w:t>
            </w:r>
            <w:r>
              <w:rPr>
                <w:sz w:val="28"/>
              </w:rPr>
              <w:t>.</w:t>
            </w:r>
          </w:p>
        </w:tc>
      </w:tr>
      <w:tr w:rsidR="00D93E23" w:rsidRPr="004A1CE9" w:rsidTr="00F73C42">
        <w:trPr>
          <w:trHeight w:val="976"/>
        </w:trPr>
        <w:tc>
          <w:tcPr>
            <w:tcW w:w="3119" w:type="dxa"/>
            <w:shd w:val="clear" w:color="auto" w:fill="auto"/>
          </w:tcPr>
          <w:p w:rsidR="00D93E23" w:rsidRPr="00D93E23" w:rsidRDefault="00D93E23" w:rsidP="006866C2">
            <w:pPr>
              <w:jc w:val="both"/>
              <w:rPr>
                <w:sz w:val="28"/>
                <w:szCs w:val="28"/>
              </w:rPr>
            </w:pPr>
            <w:r w:rsidRPr="004A1CE9">
              <w:rPr>
                <w:sz w:val="28"/>
                <w:szCs w:val="28"/>
              </w:rPr>
              <w:t>Предмет закупки</w:t>
            </w:r>
            <w:r w:rsidRPr="00D93E23">
              <w:rPr>
                <w:sz w:val="28"/>
                <w:szCs w:val="28"/>
              </w:rPr>
              <w:t>:</w:t>
            </w:r>
          </w:p>
        </w:tc>
        <w:tc>
          <w:tcPr>
            <w:tcW w:w="6804" w:type="dxa"/>
            <w:shd w:val="clear" w:color="auto" w:fill="auto"/>
          </w:tcPr>
          <w:p w:rsidR="00D93E23" w:rsidRPr="00D93E23" w:rsidRDefault="00DC42B8" w:rsidP="0079157A">
            <w:pPr>
              <w:jc w:val="both"/>
              <w:rPr>
                <w:sz w:val="28"/>
                <w:szCs w:val="28"/>
              </w:rPr>
            </w:pPr>
            <w:r w:rsidRPr="00DC42B8">
              <w:rPr>
                <w:sz w:val="28"/>
                <w:szCs w:val="28"/>
              </w:rPr>
              <w:t xml:space="preserve">Услуги по управлению репутацией ОАО «Сбер Банк»       </w:t>
            </w:r>
            <w:r w:rsidR="00D93E23" w:rsidRPr="00D93E23">
              <w:rPr>
                <w:sz w:val="28"/>
                <w:szCs w:val="28"/>
              </w:rPr>
              <w:t>согласно Приложению № 1</w:t>
            </w:r>
            <w:r w:rsidR="00D93E23">
              <w:rPr>
                <w:sz w:val="28"/>
                <w:szCs w:val="28"/>
              </w:rPr>
              <w:t xml:space="preserve"> к Приглашению</w:t>
            </w:r>
            <w:r w:rsidR="00F73C42">
              <w:rPr>
                <w:sz w:val="28"/>
                <w:szCs w:val="28"/>
              </w:rPr>
              <w:t>.</w:t>
            </w:r>
          </w:p>
        </w:tc>
      </w:tr>
      <w:tr w:rsidR="00DC41C2" w:rsidRPr="004A1CE9" w:rsidTr="00F73C42">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r w:rsidR="003718D0">
              <w:rPr>
                <w:sz w:val="28"/>
                <w:szCs w:val="28"/>
              </w:rPr>
              <w:t>:</w:t>
            </w:r>
          </w:p>
        </w:tc>
        <w:tc>
          <w:tcPr>
            <w:tcW w:w="6804" w:type="dxa"/>
            <w:shd w:val="clear" w:color="auto" w:fill="auto"/>
          </w:tcPr>
          <w:p w:rsidR="00DC41C2" w:rsidRPr="0013116C" w:rsidRDefault="00DC42B8" w:rsidP="00DC41C2">
            <w:pPr>
              <w:jc w:val="both"/>
              <w:rPr>
                <w:b/>
                <w:sz w:val="28"/>
                <w:szCs w:val="28"/>
              </w:rPr>
            </w:pPr>
            <w:r>
              <w:rPr>
                <w:b/>
                <w:sz w:val="28"/>
                <w:szCs w:val="28"/>
              </w:rPr>
              <w:t xml:space="preserve">60 000 </w:t>
            </w:r>
            <w:r>
              <w:rPr>
                <w:b/>
                <w:sz w:val="28"/>
                <w:szCs w:val="28"/>
                <w:lang w:val="en-US"/>
              </w:rPr>
              <w:t>BYN</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r w:rsidR="00F73C42">
              <w:rPr>
                <w:i/>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r w:rsidR="00F73C42">
              <w:rPr>
                <w:sz w:val="28"/>
                <w:szCs w:val="28"/>
              </w:rPr>
              <w:t>.</w:t>
            </w:r>
          </w:p>
        </w:tc>
      </w:tr>
      <w:tr w:rsidR="009269C9" w:rsidRPr="004A1CE9" w:rsidTr="00F73C42">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F73C42" w:rsidRPr="00F73C42" w:rsidRDefault="00F73C42" w:rsidP="00F73C42">
            <w:pPr>
              <w:jc w:val="both"/>
              <w:rPr>
                <w:sz w:val="28"/>
                <w:szCs w:val="28"/>
              </w:rPr>
            </w:pPr>
            <w:r w:rsidRPr="00F73C42">
              <w:rPr>
                <w:sz w:val="28"/>
                <w:szCs w:val="28"/>
              </w:rPr>
              <w:t>- юридическое лицо, находящееся в процессе ликвидации, за исключением процедуры экономической несостоятельности (банкротства),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w:t>
            </w:r>
          </w:p>
          <w:p w:rsidR="00F73C42" w:rsidRPr="00F73C42" w:rsidRDefault="00F73C42" w:rsidP="00F73C42">
            <w:pPr>
              <w:jc w:val="both"/>
              <w:rPr>
                <w:sz w:val="28"/>
                <w:szCs w:val="28"/>
              </w:rPr>
            </w:pPr>
            <w:r w:rsidRPr="00F73C42">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w:t>
            </w:r>
            <w:r w:rsidRPr="00F73C42">
              <w:rPr>
                <w:sz w:val="28"/>
                <w:szCs w:val="28"/>
              </w:rPr>
              <w:lastRenderedPageBreak/>
              <w:t>целях восстановления платежеспособности (санации);</w:t>
            </w:r>
          </w:p>
          <w:p w:rsidR="00F73C42" w:rsidRPr="00F73C42" w:rsidRDefault="00F73C42" w:rsidP="00F73C42">
            <w:pPr>
              <w:jc w:val="both"/>
              <w:rPr>
                <w:sz w:val="28"/>
                <w:szCs w:val="28"/>
              </w:rPr>
            </w:pPr>
            <w:r w:rsidRPr="00F73C42">
              <w:rPr>
                <w:sz w:val="28"/>
                <w:szCs w:val="28"/>
              </w:rPr>
              <w:t>- юридическое лицо при наличии неснятой или непогашенной судимости у руководителя организации-участника (лица уполномоченного на заключение договора), а равно при наличии в отношении кого-либо из указанных лиц возбужденного уголовного дела;</w:t>
            </w:r>
          </w:p>
          <w:p w:rsidR="00BD50E6" w:rsidRDefault="00F73C42" w:rsidP="00F73C42">
            <w:pPr>
              <w:jc w:val="both"/>
              <w:rPr>
                <w:sz w:val="28"/>
                <w:szCs w:val="28"/>
              </w:rPr>
            </w:pPr>
            <w:r w:rsidRPr="00F73C42">
              <w:rPr>
                <w:sz w:val="28"/>
                <w:szCs w:val="28"/>
              </w:rPr>
              <w:t>- юридическое лицо, представившее недостоверную информацию о себе.</w:t>
            </w:r>
          </w:p>
          <w:p w:rsidR="00D93E23" w:rsidRPr="00B76BD2" w:rsidRDefault="00F73C42" w:rsidP="00F73C42">
            <w:pPr>
              <w:jc w:val="both"/>
              <w:rPr>
                <w:sz w:val="28"/>
                <w:szCs w:val="28"/>
              </w:rPr>
            </w:pPr>
            <w:r w:rsidRPr="00F73C42">
              <w:rPr>
                <w:sz w:val="28"/>
                <w:szCs w:val="28"/>
              </w:rPr>
              <w:t xml:space="preserve"> -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F73C42">
        <w:tc>
          <w:tcPr>
            <w:tcW w:w="3119"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r w:rsidR="003718D0">
              <w:rPr>
                <w:sz w:val="28"/>
                <w:szCs w:val="28"/>
              </w:rPr>
              <w:t>:</w:t>
            </w:r>
          </w:p>
        </w:tc>
        <w:tc>
          <w:tcPr>
            <w:tcW w:w="6804" w:type="dxa"/>
            <w:shd w:val="clear" w:color="auto" w:fill="auto"/>
          </w:tcPr>
          <w:p w:rsidR="00426359" w:rsidRPr="00B76BD2" w:rsidRDefault="00E36759" w:rsidP="00DE48E8">
            <w:pPr>
              <w:jc w:val="both"/>
              <w:rPr>
                <w:sz w:val="28"/>
                <w:szCs w:val="28"/>
              </w:rPr>
            </w:pPr>
            <w:r>
              <w:rPr>
                <w:sz w:val="28"/>
                <w:szCs w:val="28"/>
              </w:rPr>
              <w:t>С 01.04.2022 по 31.03.2023</w:t>
            </w:r>
            <w:r w:rsidR="002D2D06">
              <w:rPr>
                <w:sz w:val="28"/>
                <w:szCs w:val="28"/>
              </w:rPr>
              <w:t>.</w:t>
            </w:r>
          </w:p>
        </w:tc>
      </w:tr>
      <w:tr w:rsidR="000119BA" w:rsidRPr="004A1CE9" w:rsidTr="00F73C42">
        <w:tc>
          <w:tcPr>
            <w:tcW w:w="3119" w:type="dxa"/>
            <w:shd w:val="clear" w:color="auto" w:fill="auto"/>
            <w:vAlign w:val="center"/>
          </w:tcPr>
          <w:p w:rsidR="000119BA" w:rsidRDefault="000119BA" w:rsidP="00F304B8">
            <w:pPr>
              <w:rPr>
                <w:sz w:val="28"/>
                <w:szCs w:val="28"/>
              </w:rPr>
            </w:pPr>
            <w:r>
              <w:rPr>
                <w:sz w:val="28"/>
                <w:szCs w:val="28"/>
              </w:rPr>
              <w:t>Место оказания услуг</w:t>
            </w:r>
            <w:r w:rsidR="003718D0">
              <w:rPr>
                <w:sz w:val="28"/>
                <w:szCs w:val="28"/>
              </w:rPr>
              <w:t>:</w:t>
            </w:r>
          </w:p>
        </w:tc>
        <w:tc>
          <w:tcPr>
            <w:tcW w:w="6804" w:type="dxa"/>
            <w:shd w:val="clear" w:color="auto" w:fill="auto"/>
          </w:tcPr>
          <w:p w:rsidR="000119BA" w:rsidRPr="00D93E23" w:rsidRDefault="00AC09F6" w:rsidP="00EE37E0">
            <w:pPr>
              <w:jc w:val="both"/>
              <w:rPr>
                <w:sz w:val="28"/>
                <w:szCs w:val="28"/>
              </w:rPr>
            </w:pPr>
            <w:r>
              <w:rPr>
                <w:sz w:val="28"/>
                <w:szCs w:val="28"/>
              </w:rPr>
              <w:t xml:space="preserve">РБ, </w:t>
            </w:r>
            <w:r w:rsidR="000119BA">
              <w:rPr>
                <w:sz w:val="28"/>
                <w:szCs w:val="28"/>
              </w:rPr>
              <w:t>г. Минск</w:t>
            </w:r>
            <w:r w:rsidR="008816A6">
              <w:rPr>
                <w:sz w:val="28"/>
                <w:szCs w:val="28"/>
              </w:rPr>
              <w:t>.</w:t>
            </w:r>
          </w:p>
        </w:tc>
      </w:tr>
      <w:tr w:rsidR="007F7C99" w:rsidRPr="004A1CE9" w:rsidTr="00F73C42">
        <w:tc>
          <w:tcPr>
            <w:tcW w:w="3119" w:type="dxa"/>
            <w:shd w:val="clear" w:color="auto" w:fill="auto"/>
            <w:vAlign w:val="center"/>
          </w:tcPr>
          <w:p w:rsidR="007F7C99" w:rsidRDefault="007F7C99" w:rsidP="00F304B8">
            <w:pPr>
              <w:rPr>
                <w:sz w:val="28"/>
                <w:szCs w:val="28"/>
              </w:rPr>
            </w:pPr>
            <w:r w:rsidRPr="007F7C99">
              <w:rPr>
                <w:sz w:val="28"/>
                <w:szCs w:val="28"/>
              </w:rPr>
              <w:t>Дополнительное требование</w:t>
            </w:r>
            <w:r>
              <w:rPr>
                <w:sz w:val="28"/>
                <w:szCs w:val="28"/>
              </w:rPr>
              <w:t xml:space="preserve"> к предмету закупки</w:t>
            </w:r>
            <w:r w:rsidR="003718D0">
              <w:rPr>
                <w:sz w:val="28"/>
                <w:szCs w:val="28"/>
              </w:rPr>
              <w:t>:</w:t>
            </w:r>
            <w:r>
              <w:rPr>
                <w:sz w:val="28"/>
                <w:szCs w:val="28"/>
              </w:rPr>
              <w:t xml:space="preserve"> </w:t>
            </w:r>
          </w:p>
        </w:tc>
        <w:tc>
          <w:tcPr>
            <w:tcW w:w="6804" w:type="dxa"/>
            <w:shd w:val="clear" w:color="auto" w:fill="auto"/>
          </w:tcPr>
          <w:p w:rsidR="007F7C99" w:rsidRPr="00D93E23" w:rsidRDefault="00E37E59" w:rsidP="00EE37E0">
            <w:pPr>
              <w:jc w:val="both"/>
              <w:rPr>
                <w:sz w:val="28"/>
                <w:szCs w:val="28"/>
              </w:rPr>
            </w:pPr>
            <w:r>
              <w:rPr>
                <w:sz w:val="28"/>
                <w:szCs w:val="28"/>
              </w:rPr>
              <w:t>Указаны в Приложении №1 к Приглашению.</w:t>
            </w:r>
          </w:p>
        </w:tc>
      </w:tr>
      <w:tr w:rsidR="00C249CD" w:rsidRPr="004A1CE9" w:rsidTr="00F73C42">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F73C42">
        <w:tc>
          <w:tcPr>
            <w:tcW w:w="3119" w:type="dxa"/>
            <w:shd w:val="clear" w:color="auto" w:fill="auto"/>
            <w:vAlign w:val="center"/>
          </w:tcPr>
          <w:p w:rsidR="00EE4099" w:rsidRPr="004A1CE9" w:rsidRDefault="001703A0" w:rsidP="00D93E23">
            <w:pPr>
              <w:rPr>
                <w:sz w:val="28"/>
                <w:szCs w:val="28"/>
              </w:rPr>
            </w:pPr>
            <w:r w:rsidRPr="004A1CE9">
              <w:rPr>
                <w:sz w:val="28"/>
                <w:szCs w:val="28"/>
              </w:rPr>
              <w:t>Квалификационные</w:t>
            </w:r>
            <w:r w:rsidR="00EE4099" w:rsidRPr="004A1CE9">
              <w:rPr>
                <w:sz w:val="28"/>
                <w:szCs w:val="28"/>
              </w:rPr>
              <w:t xml:space="preserve"> требования к участникам закупки</w:t>
            </w:r>
            <w:r w:rsidR="003718D0">
              <w:rPr>
                <w:sz w:val="28"/>
                <w:szCs w:val="28"/>
              </w:rPr>
              <w:t>:</w:t>
            </w:r>
          </w:p>
        </w:tc>
        <w:tc>
          <w:tcPr>
            <w:tcW w:w="6804" w:type="dxa"/>
            <w:shd w:val="clear" w:color="auto" w:fill="auto"/>
          </w:tcPr>
          <w:p w:rsidR="00E36759" w:rsidRPr="00E36759" w:rsidRDefault="00E36759" w:rsidP="00E36759">
            <w:pPr>
              <w:jc w:val="both"/>
              <w:rPr>
                <w:sz w:val="28"/>
                <w:szCs w:val="28"/>
                <w:lang w:eastAsia="ar-SA"/>
              </w:rPr>
            </w:pPr>
            <w:r w:rsidRPr="00E36759">
              <w:rPr>
                <w:sz w:val="28"/>
                <w:szCs w:val="28"/>
                <w:lang w:eastAsia="ar-SA"/>
              </w:rPr>
              <w:t>1)</w:t>
            </w:r>
            <w:r w:rsidRPr="00E36759">
              <w:rPr>
                <w:sz w:val="28"/>
                <w:szCs w:val="28"/>
                <w:lang w:eastAsia="ar-SA"/>
              </w:rPr>
              <w:tab/>
              <w:t>Предоставление персонального менеджера</w:t>
            </w:r>
            <w:r>
              <w:rPr>
                <w:sz w:val="28"/>
                <w:szCs w:val="28"/>
                <w:lang w:eastAsia="ar-SA"/>
              </w:rPr>
              <w:t xml:space="preserve"> (</w:t>
            </w:r>
            <w:r w:rsidRPr="00E36759">
              <w:rPr>
                <w:sz w:val="28"/>
                <w:szCs w:val="28"/>
                <w:lang w:eastAsia="ar-SA"/>
              </w:rPr>
              <w:t>подтверждается письменным заявлением Участника о том,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w:t>
            </w:r>
            <w:r>
              <w:rPr>
                <w:sz w:val="28"/>
                <w:szCs w:val="28"/>
                <w:lang w:eastAsia="ar-SA"/>
              </w:rPr>
              <w:t>)</w:t>
            </w:r>
            <w:r w:rsidRPr="00E36759">
              <w:rPr>
                <w:sz w:val="28"/>
                <w:szCs w:val="28"/>
                <w:lang w:eastAsia="ar-SA"/>
              </w:rPr>
              <w:t xml:space="preserve">; </w:t>
            </w:r>
          </w:p>
          <w:p w:rsidR="00081AD8" w:rsidRPr="00004FEF" w:rsidRDefault="00E36759" w:rsidP="00E36759">
            <w:pPr>
              <w:jc w:val="both"/>
              <w:rPr>
                <w:sz w:val="28"/>
                <w:szCs w:val="28"/>
                <w:lang w:eastAsia="ar-SA"/>
              </w:rPr>
            </w:pPr>
            <w:r w:rsidRPr="00E36759">
              <w:rPr>
                <w:sz w:val="28"/>
                <w:szCs w:val="28"/>
                <w:lang w:eastAsia="ar-SA"/>
              </w:rPr>
              <w:t>2)</w:t>
            </w:r>
            <w:r w:rsidRPr="00E36759">
              <w:rPr>
                <w:sz w:val="28"/>
                <w:szCs w:val="28"/>
                <w:lang w:eastAsia="ar-SA"/>
              </w:rPr>
              <w:tab/>
              <w:t xml:space="preserve">Возможность ежедневного мониторинга </w:t>
            </w:r>
            <w:r w:rsidRPr="00E36759">
              <w:rPr>
                <w:sz w:val="28"/>
                <w:szCs w:val="28"/>
                <w:lang w:eastAsia="ar-SA"/>
              </w:rPr>
              <w:lastRenderedPageBreak/>
              <w:t>социальных медиа и СМИ, ежемесячного мониторинга и анализа до 5 конкурентов</w:t>
            </w:r>
            <w:r>
              <w:rPr>
                <w:sz w:val="28"/>
                <w:szCs w:val="28"/>
                <w:lang w:eastAsia="ar-SA"/>
              </w:rPr>
              <w:t xml:space="preserve"> (</w:t>
            </w:r>
            <w:r w:rsidRPr="00E36759">
              <w:rPr>
                <w:sz w:val="28"/>
                <w:szCs w:val="28"/>
                <w:lang w:eastAsia="ar-SA"/>
              </w:rPr>
              <w:t>подтверждается предоставлением заявления о наличии системы сканирования интернет-пространства для мониторинга социальных медиа и СМИ, подписка или скриншот установленного ПО; предоставление презентации компании Участника в формате PDF</w:t>
            </w:r>
            <w:r>
              <w:rPr>
                <w:sz w:val="28"/>
                <w:szCs w:val="28"/>
                <w:lang w:eastAsia="ar-SA"/>
              </w:rPr>
              <w:t>).</w:t>
            </w:r>
          </w:p>
        </w:tc>
      </w:tr>
      <w:tr w:rsidR="00004EE8" w:rsidRPr="004A1CE9" w:rsidTr="00F73C42">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w:t>
            </w:r>
            <w:r w:rsidR="00463286">
              <w:rPr>
                <w:sz w:val="28"/>
                <w:szCs w:val="28"/>
              </w:rPr>
              <w:t xml:space="preserve"> заполнив столбцы 4 и 5 Таблицы</w:t>
            </w:r>
            <w:r w:rsidR="00681A41">
              <w:rPr>
                <w:sz w:val="28"/>
                <w:szCs w:val="28"/>
              </w:rPr>
              <w:t>, указанн</w:t>
            </w:r>
            <w:r w:rsidR="007F4736">
              <w:rPr>
                <w:sz w:val="28"/>
                <w:szCs w:val="28"/>
              </w:rPr>
              <w:t>ой</w:t>
            </w:r>
            <w:r w:rsidR="0000637C">
              <w:rPr>
                <w:sz w:val="28"/>
                <w:szCs w:val="28"/>
              </w:rPr>
              <w:t xml:space="preserve"> в </w:t>
            </w:r>
            <w:r w:rsidR="007F4736">
              <w:rPr>
                <w:sz w:val="28"/>
                <w:szCs w:val="28"/>
              </w:rPr>
              <w:t>Приложения</w:t>
            </w:r>
            <w:r w:rsidR="00681A41">
              <w:rPr>
                <w:sz w:val="28"/>
                <w:szCs w:val="28"/>
              </w:rPr>
              <w:t xml:space="preserve">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F73C42">
        <w:tc>
          <w:tcPr>
            <w:tcW w:w="3119"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r w:rsidR="003718D0">
              <w:rPr>
                <w:sz w:val="28"/>
                <w:szCs w:val="28"/>
              </w:rPr>
              <w:t>:</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r w:rsidR="008B2E19" w:rsidRPr="00520013">
              <w:rPr>
                <w:sz w:val="28"/>
                <w:szCs w:val="28"/>
              </w:rPr>
              <w:t>антикоррупционная</w:t>
            </w:r>
            <w:r w:rsidR="00520013" w:rsidRPr="00520013">
              <w:rPr>
                <w:sz w:val="28"/>
                <w:szCs w:val="28"/>
              </w:rPr>
              <w:t xml:space="preserve"> </w:t>
            </w:r>
            <w:r w:rsidR="006C0D8B">
              <w:rPr>
                <w:sz w:val="28"/>
                <w:szCs w:val="28"/>
              </w:rPr>
              <w:t>оговорка согласно Приложению № 3</w:t>
            </w:r>
            <w:r w:rsidR="00520013" w:rsidRPr="00520013">
              <w:rPr>
                <w:sz w:val="28"/>
                <w:szCs w:val="28"/>
              </w:rPr>
              <w:t xml:space="preserve"> к Приглашению</w:t>
            </w:r>
            <w:r w:rsidR="008B2E19">
              <w:rPr>
                <w:sz w:val="28"/>
                <w:szCs w:val="28"/>
              </w:rPr>
              <w:t>.</w:t>
            </w:r>
          </w:p>
        </w:tc>
      </w:tr>
      <w:tr w:rsidR="00E115C5" w:rsidRPr="004A1CE9" w:rsidTr="00F73C42">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r w:rsidR="003718D0">
              <w:rPr>
                <w:sz w:val="28"/>
                <w:szCs w:val="28"/>
              </w:rPr>
              <w:t>:</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lastRenderedPageBreak/>
              <w:t>номер телефона участника;</w:t>
            </w:r>
          </w:p>
          <w:p w:rsidR="00681A41" w:rsidRPr="009673A9" w:rsidRDefault="00681A41" w:rsidP="006C0D8B">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6C0D8B">
              <w:rPr>
                <w:sz w:val="28"/>
                <w:szCs w:val="28"/>
              </w:rPr>
              <w:t xml:space="preserve">стоимость услуг </w:t>
            </w:r>
            <w:r w:rsidR="006C0D8B" w:rsidRPr="006C0D8B">
              <w:rPr>
                <w:sz w:val="28"/>
                <w:szCs w:val="28"/>
              </w:rPr>
              <w:t>в разрезе заполнив столбцы 4 и 5 Таблицы, указанной в Требован</w:t>
            </w:r>
            <w:r w:rsidR="006C0D8B">
              <w:rPr>
                <w:sz w:val="28"/>
                <w:szCs w:val="28"/>
              </w:rPr>
              <w:t>ии Приложения №1 к Приглашению);</w:t>
            </w:r>
            <w:r w:rsidRPr="009673A9">
              <w:rPr>
                <w:sz w:val="28"/>
                <w:szCs w:val="28"/>
              </w:rPr>
              <w:t xml:space="preserve"> </w:t>
            </w:r>
          </w:p>
          <w:p w:rsidR="0053219B" w:rsidRPr="0053219B" w:rsidRDefault="00681A41" w:rsidP="0053219B">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53219B" w:rsidRDefault="00104D80" w:rsidP="00EA5A35">
            <w:pPr>
              <w:autoSpaceDE w:val="0"/>
              <w:autoSpaceDN w:val="0"/>
              <w:adjustRightInd w:val="0"/>
              <w:jc w:val="both"/>
              <w:rPr>
                <w:b/>
                <w:sz w:val="28"/>
                <w:szCs w:val="28"/>
              </w:rPr>
            </w:pPr>
            <w:r w:rsidRPr="0053219B">
              <w:rPr>
                <w:b/>
                <w:sz w:val="28"/>
                <w:szCs w:val="28"/>
              </w:rPr>
              <w:t>Коммерческое п</w:t>
            </w:r>
            <w:r w:rsidR="00EA5A35" w:rsidRPr="0053219B">
              <w:rPr>
                <w:b/>
                <w:sz w:val="28"/>
                <w:szCs w:val="28"/>
              </w:rPr>
              <w:t>редложение</w:t>
            </w:r>
            <w:r w:rsidRPr="0053219B">
              <w:rPr>
                <w:b/>
                <w:sz w:val="28"/>
                <w:szCs w:val="28"/>
              </w:rPr>
              <w:t xml:space="preserve"> дополнительно</w:t>
            </w:r>
            <w:r w:rsidR="0053219B">
              <w:rPr>
                <w:b/>
                <w:sz w:val="28"/>
                <w:szCs w:val="28"/>
              </w:rPr>
              <w:t xml:space="preserve"> должно включать: </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53219B" w:rsidRDefault="00681A41" w:rsidP="00681A41">
            <w:pPr>
              <w:autoSpaceDE w:val="0"/>
              <w:autoSpaceDN w:val="0"/>
              <w:adjustRightInd w:val="0"/>
              <w:jc w:val="both"/>
              <w:rPr>
                <w:sz w:val="28"/>
                <w:szCs w:val="28"/>
              </w:rPr>
            </w:pPr>
            <w:r w:rsidRPr="0053219B">
              <w:rPr>
                <w:b/>
                <w:sz w:val="28"/>
                <w:szCs w:val="28"/>
              </w:rPr>
              <w:t>Приложения к коммерческому предложению</w:t>
            </w:r>
            <w:r w:rsidRPr="0053219B">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53219B">
              <w:rPr>
                <w:sz w:val="28"/>
                <w:szCs w:val="28"/>
              </w:rPr>
              <w:t xml:space="preserve"> №</w:t>
            </w:r>
            <w:r w:rsidRPr="00C02EC9">
              <w:rPr>
                <w:sz w:val="28"/>
                <w:szCs w:val="28"/>
              </w:rPr>
              <w:t xml:space="preserve"> </w:t>
            </w:r>
            <w:r w:rsidR="006C0D8B">
              <w:rPr>
                <w:sz w:val="28"/>
                <w:szCs w:val="28"/>
              </w:rPr>
              <w:t>2</w:t>
            </w:r>
            <w:r w:rsidRPr="00C02EC9">
              <w:rPr>
                <w:sz w:val="28"/>
                <w:szCs w:val="28"/>
              </w:rPr>
              <w:t xml:space="preserve"> к Приглашению);</w:t>
            </w:r>
          </w:p>
          <w:p w:rsidR="00647080" w:rsidRDefault="00EA5A35" w:rsidP="00081AD8">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53219B">
              <w:rPr>
                <w:b/>
                <w:sz w:val="28"/>
                <w:szCs w:val="28"/>
              </w:rPr>
              <w:t>документы</w:t>
            </w:r>
            <w:r w:rsidR="00081AD8" w:rsidRPr="0053219B">
              <w:rPr>
                <w:b/>
                <w:sz w:val="28"/>
                <w:szCs w:val="28"/>
              </w:rPr>
              <w:t>,</w:t>
            </w:r>
            <w:r w:rsidR="00681A41" w:rsidRPr="0053219B">
              <w:rPr>
                <w:b/>
                <w:sz w:val="28"/>
                <w:szCs w:val="28"/>
              </w:rPr>
              <w:t xml:space="preserve"> подтверждающие</w:t>
            </w:r>
            <w:r w:rsidR="0053219B" w:rsidRPr="0053219B">
              <w:rPr>
                <w:b/>
                <w:sz w:val="28"/>
                <w:szCs w:val="28"/>
              </w:rPr>
              <w:t xml:space="preserve"> соответствие квалификационным</w:t>
            </w:r>
            <w:r w:rsidR="00681A41" w:rsidRPr="0053219B">
              <w:rPr>
                <w:b/>
                <w:sz w:val="28"/>
                <w:szCs w:val="28"/>
              </w:rPr>
              <w:t xml:space="preserve"> </w:t>
            </w:r>
            <w:r w:rsidR="0053219B" w:rsidRPr="0053219B">
              <w:rPr>
                <w:b/>
                <w:sz w:val="28"/>
                <w:szCs w:val="28"/>
              </w:rPr>
              <w:t xml:space="preserve">       </w:t>
            </w:r>
            <w:r w:rsidR="00081AD8" w:rsidRPr="0053219B">
              <w:rPr>
                <w:b/>
                <w:sz w:val="28"/>
                <w:szCs w:val="28"/>
              </w:rPr>
              <w:t>требования</w:t>
            </w:r>
            <w:r w:rsidR="0053219B" w:rsidRPr="0053219B">
              <w:rPr>
                <w:b/>
                <w:sz w:val="28"/>
                <w:szCs w:val="28"/>
              </w:rPr>
              <w:t>м</w:t>
            </w:r>
            <w:r w:rsidR="00081AD8" w:rsidRPr="0053219B">
              <w:rPr>
                <w:b/>
                <w:sz w:val="28"/>
                <w:szCs w:val="28"/>
              </w:rPr>
              <w:t>.</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F73C42">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я по условиям оплаты</w:t>
            </w:r>
            <w:r w:rsidR="003718D0">
              <w:rPr>
                <w:sz w:val="28"/>
                <w:szCs w:val="28"/>
              </w:rPr>
              <w:t>:</w:t>
            </w:r>
            <w:r w:rsidR="007C3FC5" w:rsidRPr="004A1CE9">
              <w:rPr>
                <w:sz w:val="28"/>
                <w:szCs w:val="28"/>
              </w:rPr>
              <w:t xml:space="preserve"> </w:t>
            </w:r>
          </w:p>
        </w:tc>
        <w:tc>
          <w:tcPr>
            <w:tcW w:w="6804" w:type="dxa"/>
            <w:shd w:val="clear" w:color="auto" w:fill="auto"/>
          </w:tcPr>
          <w:p w:rsidR="00382167" w:rsidRPr="004A1CE9" w:rsidRDefault="00D26A51" w:rsidP="00D26A51">
            <w:pPr>
              <w:autoSpaceDE w:val="0"/>
              <w:autoSpaceDN w:val="0"/>
              <w:adjustRightInd w:val="0"/>
              <w:jc w:val="both"/>
              <w:rPr>
                <w:color w:val="000000"/>
                <w:sz w:val="28"/>
                <w:szCs w:val="28"/>
              </w:rPr>
            </w:pPr>
            <w:r>
              <w:rPr>
                <w:color w:val="000000"/>
                <w:sz w:val="28"/>
                <w:szCs w:val="28"/>
              </w:rPr>
              <w:t>Е</w:t>
            </w:r>
            <w:r w:rsidRPr="00D26A51">
              <w:rPr>
                <w:color w:val="000000"/>
                <w:sz w:val="28"/>
                <w:szCs w:val="28"/>
              </w:rPr>
              <w:t>жемесячно по факту оказания услуг на основании соответствующих документов</w:t>
            </w:r>
            <w:r>
              <w:rPr>
                <w:color w:val="000000"/>
                <w:sz w:val="28"/>
                <w:szCs w:val="28"/>
              </w:rPr>
              <w:t>.</w:t>
            </w:r>
          </w:p>
        </w:tc>
      </w:tr>
      <w:tr w:rsidR="00081AD8" w:rsidRPr="004A1CE9" w:rsidTr="00F73C42">
        <w:tc>
          <w:tcPr>
            <w:tcW w:w="3119"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r w:rsidR="003718D0">
              <w:rPr>
                <w:sz w:val="28"/>
                <w:szCs w:val="28"/>
              </w:rPr>
              <w:t>:</w:t>
            </w:r>
          </w:p>
        </w:tc>
        <w:tc>
          <w:tcPr>
            <w:tcW w:w="6804" w:type="dxa"/>
            <w:shd w:val="clear" w:color="auto" w:fill="auto"/>
          </w:tcPr>
          <w:p w:rsidR="00081AD8" w:rsidRPr="00467A99" w:rsidRDefault="00D26A51" w:rsidP="00296BA2">
            <w:pPr>
              <w:autoSpaceDE w:val="0"/>
              <w:autoSpaceDN w:val="0"/>
              <w:adjustRightInd w:val="0"/>
              <w:jc w:val="both"/>
              <w:rPr>
                <w:b/>
                <w:sz w:val="28"/>
                <w:szCs w:val="28"/>
              </w:rPr>
            </w:pPr>
            <w:r>
              <w:rPr>
                <w:sz w:val="28"/>
                <w:szCs w:val="28"/>
              </w:rPr>
              <w:t>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Pr>
                <w:sz w:val="28"/>
                <w:szCs w:val="28"/>
              </w:rPr>
              <w:t>.</w:t>
            </w:r>
          </w:p>
          <w:p w:rsidR="00A12CA2" w:rsidRPr="00AD6B40" w:rsidRDefault="00A12CA2" w:rsidP="00296BA2">
            <w:pPr>
              <w:autoSpaceDE w:val="0"/>
              <w:autoSpaceDN w:val="0"/>
              <w:adjustRightInd w:val="0"/>
              <w:jc w:val="both"/>
              <w:rPr>
                <w:color w:val="000000"/>
                <w:sz w:val="28"/>
                <w:szCs w:val="28"/>
              </w:rPr>
            </w:pPr>
          </w:p>
        </w:tc>
      </w:tr>
      <w:tr w:rsidR="0076578C" w:rsidRPr="004A1CE9" w:rsidTr="00F73C42">
        <w:tc>
          <w:tcPr>
            <w:tcW w:w="3119"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w:t>
            </w:r>
            <w:r w:rsidRPr="004A1CE9">
              <w:rPr>
                <w:sz w:val="28"/>
                <w:szCs w:val="28"/>
              </w:rPr>
              <w:lastRenderedPageBreak/>
              <w:t xml:space="preserve">коммерческих предложений: </w:t>
            </w:r>
            <w:r w:rsidR="0076578C" w:rsidRPr="004A1CE9">
              <w:rPr>
                <w:sz w:val="28"/>
                <w:szCs w:val="28"/>
              </w:rPr>
              <w:t xml:space="preserve"> </w:t>
            </w:r>
          </w:p>
        </w:tc>
        <w:tc>
          <w:tcPr>
            <w:tcW w:w="6804" w:type="dxa"/>
            <w:shd w:val="clear" w:color="auto" w:fill="auto"/>
          </w:tcPr>
          <w:p w:rsidR="00D26A51" w:rsidRPr="00467A99" w:rsidRDefault="00D26A51" w:rsidP="00D26A51">
            <w:pPr>
              <w:autoSpaceDE w:val="0"/>
              <w:autoSpaceDN w:val="0"/>
              <w:adjustRightInd w:val="0"/>
              <w:jc w:val="both"/>
              <w:rPr>
                <w:b/>
                <w:sz w:val="28"/>
                <w:szCs w:val="28"/>
              </w:rPr>
            </w:pPr>
            <w:r>
              <w:rPr>
                <w:sz w:val="28"/>
                <w:szCs w:val="28"/>
              </w:rPr>
              <w:lastRenderedPageBreak/>
              <w:t>Белорусский рубль</w:t>
            </w:r>
            <w:r w:rsidRPr="004A1CE9">
              <w:rPr>
                <w:sz w:val="28"/>
                <w:szCs w:val="28"/>
              </w:rPr>
              <w:t xml:space="preserve"> (</w:t>
            </w:r>
            <w:r w:rsidRPr="004A1CE9">
              <w:rPr>
                <w:sz w:val="28"/>
                <w:szCs w:val="28"/>
                <w:lang w:val="en-US"/>
              </w:rPr>
              <w:t>BYN</w:t>
            </w:r>
            <w:r w:rsidRPr="004A1CE9">
              <w:rPr>
                <w:sz w:val="28"/>
                <w:szCs w:val="28"/>
              </w:rPr>
              <w:t>)</w:t>
            </w:r>
            <w:r>
              <w:rPr>
                <w:sz w:val="28"/>
                <w:szCs w:val="28"/>
              </w:rPr>
              <w:t>.</w:t>
            </w:r>
          </w:p>
          <w:p w:rsidR="0076578C" w:rsidRPr="00E214B7" w:rsidRDefault="0076578C" w:rsidP="008A0F22">
            <w:pPr>
              <w:jc w:val="both"/>
              <w:rPr>
                <w:sz w:val="28"/>
                <w:szCs w:val="28"/>
              </w:rPr>
            </w:pP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r w:rsidR="003718D0">
              <w:rPr>
                <w:sz w:val="28"/>
                <w:szCs w:val="28"/>
              </w:rPr>
              <w:t>:</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926E45" w:rsidRDefault="0013116C" w:rsidP="00926E45">
            <w:pPr>
              <w:tabs>
                <w:tab w:val="left" w:pos="2835"/>
              </w:tabs>
              <w:jc w:val="both"/>
              <w:rPr>
                <w:sz w:val="32"/>
                <w:szCs w:val="40"/>
              </w:rPr>
            </w:pPr>
            <w:hyperlink r:id="rId8" w:history="1">
              <w:r w:rsidR="00926E45" w:rsidRPr="0093662F">
                <w:rPr>
                  <w:rStyle w:val="a9"/>
                  <w:sz w:val="28"/>
                  <w:lang w:val="en-US"/>
                </w:rPr>
                <w:t>Tenders</w:t>
              </w:r>
              <w:r w:rsidR="00926E45" w:rsidRPr="0093662F">
                <w:rPr>
                  <w:rStyle w:val="a9"/>
                  <w:sz w:val="28"/>
                </w:rPr>
                <w:t>@sber-bank.by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926E45">
              <w:rPr>
                <w:sz w:val="28"/>
                <w:szCs w:val="28"/>
              </w:rPr>
              <w:t xml:space="preserve">предложение </w:t>
            </w:r>
            <w:r w:rsidR="00A441D8" w:rsidRPr="00926E45">
              <w:rPr>
                <w:sz w:val="28"/>
                <w:szCs w:val="28"/>
              </w:rPr>
              <w:t xml:space="preserve">к участию в процедуре закупки </w:t>
            </w:r>
            <w:r w:rsidR="00435AF1" w:rsidRPr="00435AF1">
              <w:rPr>
                <w:sz w:val="28"/>
                <w:szCs w:val="28"/>
              </w:rPr>
              <w:t>«Услуги по управлению репутацией ОАО «Сбер Банк»</w:t>
            </w:r>
            <w:r w:rsidR="00812F82">
              <w:rPr>
                <w:sz w:val="28"/>
                <w:szCs w:val="28"/>
              </w:rPr>
              <w:t>.</w:t>
            </w:r>
            <w:r w:rsidR="00435AF1" w:rsidRPr="00435AF1">
              <w:rPr>
                <w:sz w:val="28"/>
                <w:szCs w:val="28"/>
              </w:rPr>
              <w:t xml:space="preserve">       </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r w:rsidR="003718D0">
              <w:rPr>
                <w:sz w:val="28"/>
                <w:szCs w:val="28"/>
              </w:rPr>
              <w:t>:</w:t>
            </w:r>
          </w:p>
        </w:tc>
        <w:tc>
          <w:tcPr>
            <w:tcW w:w="6804" w:type="dxa"/>
            <w:shd w:val="clear" w:color="auto" w:fill="auto"/>
          </w:tcPr>
          <w:p w:rsidR="003718D0" w:rsidRPr="00E2144C"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Лысковец Наталья Александровна</w:t>
            </w:r>
          </w:p>
          <w:p w:rsidR="00117916" w:rsidRPr="004A1CE9"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тел. +375 17 359 99 70</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r w:rsidR="003718D0">
              <w:rPr>
                <w:sz w:val="28"/>
                <w:szCs w:val="28"/>
              </w:rPr>
              <w:t>:</w:t>
            </w:r>
          </w:p>
        </w:tc>
        <w:tc>
          <w:tcPr>
            <w:tcW w:w="6804" w:type="dxa"/>
            <w:shd w:val="clear" w:color="auto" w:fill="auto"/>
          </w:tcPr>
          <w:p w:rsidR="009A1D80" w:rsidRDefault="00435AF1" w:rsidP="00647080">
            <w:pPr>
              <w:pStyle w:val="a3"/>
              <w:widowControl w:val="0"/>
              <w:jc w:val="both"/>
              <w:rPr>
                <w:rFonts w:ascii="Times New Roman" w:hAnsi="Times New Roman"/>
                <w:sz w:val="28"/>
                <w:szCs w:val="28"/>
              </w:rPr>
            </w:pPr>
            <w:r>
              <w:rPr>
                <w:rFonts w:ascii="Times New Roman" w:hAnsi="Times New Roman"/>
                <w:sz w:val="28"/>
                <w:szCs w:val="28"/>
              </w:rPr>
              <w:t>Прохорчик Елена Владимировна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+375 17</w:t>
            </w:r>
            <w:r w:rsidR="007F7C99">
              <w:rPr>
                <w:rFonts w:ascii="Times New Roman" w:hAnsi="Times New Roman"/>
                <w:sz w:val="28"/>
                <w:szCs w:val="28"/>
              </w:rPr>
              <w:t> </w:t>
            </w:r>
            <w:r w:rsidRPr="00081AD8">
              <w:rPr>
                <w:rFonts w:ascii="Times New Roman" w:hAnsi="Times New Roman"/>
                <w:sz w:val="28"/>
                <w:szCs w:val="28"/>
              </w:rPr>
              <w:t>359</w:t>
            </w:r>
            <w:r w:rsidR="007F7C99">
              <w:rPr>
                <w:rFonts w:ascii="Times New Roman" w:hAnsi="Times New Roman"/>
                <w:sz w:val="28"/>
                <w:szCs w:val="28"/>
              </w:rPr>
              <w:t xml:space="preserve"> </w:t>
            </w:r>
            <w:r w:rsidR="00435AF1">
              <w:rPr>
                <w:rFonts w:ascii="Times New Roman" w:hAnsi="Times New Roman"/>
                <w:sz w:val="28"/>
                <w:szCs w:val="28"/>
              </w:rPr>
              <w:t>96</w:t>
            </w:r>
            <w:r w:rsidR="007F7C99">
              <w:rPr>
                <w:rFonts w:ascii="Times New Roman" w:hAnsi="Times New Roman"/>
                <w:sz w:val="28"/>
                <w:szCs w:val="28"/>
              </w:rPr>
              <w:t xml:space="preserve"> </w:t>
            </w:r>
            <w:r w:rsidR="00435AF1">
              <w:rPr>
                <w:rFonts w:ascii="Times New Roman" w:hAnsi="Times New Roman"/>
                <w:sz w:val="28"/>
                <w:szCs w:val="28"/>
              </w:rPr>
              <w:t>70</w:t>
            </w:r>
          </w:p>
        </w:tc>
      </w:tr>
      <w:tr w:rsidR="009A1D80" w:rsidRPr="004A1CE9" w:rsidTr="00F73C42">
        <w:trPr>
          <w:trHeight w:val="655"/>
        </w:trPr>
        <w:tc>
          <w:tcPr>
            <w:tcW w:w="3119"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r w:rsidR="003718D0">
              <w:rPr>
                <w:sz w:val="28"/>
                <w:szCs w:val="28"/>
              </w:rPr>
              <w:t>:</w:t>
            </w:r>
          </w:p>
        </w:tc>
        <w:tc>
          <w:tcPr>
            <w:tcW w:w="6804" w:type="dxa"/>
            <w:shd w:val="clear" w:color="auto" w:fill="auto"/>
            <w:vAlign w:val="center"/>
          </w:tcPr>
          <w:p w:rsidR="009A1D80" w:rsidRPr="004A1CE9" w:rsidRDefault="0013116C" w:rsidP="00566D42">
            <w:pPr>
              <w:pStyle w:val="a3"/>
              <w:widowControl w:val="0"/>
              <w:rPr>
                <w:rFonts w:ascii="Times New Roman" w:hAnsi="Times New Roman"/>
                <w:sz w:val="28"/>
                <w:szCs w:val="28"/>
              </w:rPr>
            </w:pPr>
            <w:r>
              <w:rPr>
                <w:rFonts w:ascii="Times New Roman" w:hAnsi="Times New Roman"/>
                <w:sz w:val="28"/>
                <w:szCs w:val="28"/>
              </w:rPr>
              <w:t>до 23 часов 59 минут 2</w:t>
            </w:r>
            <w:r>
              <w:rPr>
                <w:rFonts w:ascii="Times New Roman" w:hAnsi="Times New Roman"/>
                <w:sz w:val="28"/>
                <w:szCs w:val="28"/>
                <w:lang w:val="en-US"/>
              </w:rPr>
              <w:t>5</w:t>
            </w:r>
            <w:bookmarkStart w:id="0" w:name="_GoBack"/>
            <w:bookmarkEnd w:id="0"/>
            <w:r w:rsidR="003718D0">
              <w:rPr>
                <w:rFonts w:ascii="Times New Roman" w:hAnsi="Times New Roman"/>
                <w:sz w:val="28"/>
                <w:szCs w:val="28"/>
              </w:rPr>
              <w:t xml:space="preserve"> февраля 2022</w:t>
            </w:r>
            <w:r w:rsidR="003718D0" w:rsidRPr="008F13D4">
              <w:rPr>
                <w:rFonts w:ascii="Times New Roman" w:hAnsi="Times New Roman"/>
                <w:sz w:val="28"/>
                <w:szCs w:val="28"/>
              </w:rPr>
              <w:t xml:space="preserve"> г.</w:t>
            </w:r>
          </w:p>
        </w:tc>
      </w:tr>
    </w:tbl>
    <w:p w:rsidR="006A5B69" w:rsidRPr="00B116A9" w:rsidRDefault="006A5B69" w:rsidP="006A5B69">
      <w:pPr>
        <w:ind w:firstLine="708"/>
        <w:jc w:val="both"/>
        <w:rPr>
          <w:sz w:val="28"/>
          <w:szCs w:val="28"/>
        </w:rPr>
      </w:pPr>
      <w:r w:rsidRPr="00B116A9">
        <w:rPr>
          <w:sz w:val="28"/>
          <w:szCs w:val="28"/>
        </w:rPr>
        <w:t xml:space="preserve">Коммерческие предложения, </w:t>
      </w:r>
      <w:r w:rsidRPr="00E5297F">
        <w:rPr>
          <w:i/>
          <w:sz w:val="28"/>
          <w:szCs w:val="28"/>
        </w:rPr>
        <w:t>поступившее в Банк после истечения окончательного срока его представления, к рассмотрению не принимаются</w:t>
      </w:r>
      <w:r w:rsidRPr="00B116A9">
        <w:rPr>
          <w:sz w:val="28"/>
          <w:szCs w:val="28"/>
        </w:rPr>
        <w:t>.</w:t>
      </w:r>
    </w:p>
    <w:p w:rsidR="006A5B69" w:rsidRPr="00B116A9" w:rsidRDefault="006A5B69" w:rsidP="006A5B69">
      <w:pPr>
        <w:ind w:firstLine="708"/>
        <w:jc w:val="both"/>
        <w:rPr>
          <w:sz w:val="28"/>
          <w:szCs w:val="28"/>
        </w:rPr>
      </w:pPr>
      <w:r w:rsidRPr="00B116A9">
        <w:rPr>
          <w:sz w:val="28"/>
          <w:szCs w:val="28"/>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6A5B69" w:rsidRDefault="006A5B69" w:rsidP="006A5B69">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6A5B69" w:rsidRDefault="006A5B69" w:rsidP="006A5B69">
      <w:pPr>
        <w:jc w:val="both"/>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505AE">
      <w:pPr>
        <w:rPr>
          <w:sz w:val="28"/>
          <w:szCs w:val="28"/>
        </w:rPr>
      </w:pPr>
    </w:p>
    <w:p w:rsidR="006505AE" w:rsidRDefault="006505AE" w:rsidP="006505AE">
      <w:pPr>
        <w:rPr>
          <w:sz w:val="28"/>
          <w:szCs w:val="28"/>
        </w:rPr>
      </w:pPr>
    </w:p>
    <w:p w:rsidR="00EE37E0" w:rsidRPr="003D1F94" w:rsidRDefault="00690AF5" w:rsidP="00690AF5">
      <w:pPr>
        <w:jc w:val="right"/>
        <w:rPr>
          <w:sz w:val="28"/>
          <w:szCs w:val="28"/>
        </w:rPr>
      </w:pPr>
      <w:r>
        <w:rPr>
          <w:sz w:val="28"/>
          <w:szCs w:val="28"/>
        </w:rPr>
        <w:lastRenderedPageBreak/>
        <w:t>Приложение № 1 к Приглашению</w:t>
      </w:r>
    </w:p>
    <w:p w:rsidR="004B2271" w:rsidRPr="004B2271" w:rsidRDefault="004B2271" w:rsidP="004B2271">
      <w:pPr>
        <w:spacing w:after="200" w:line="276" w:lineRule="auto"/>
        <w:rPr>
          <w:rFonts w:eastAsiaTheme="minorHAnsi"/>
          <w:sz w:val="28"/>
          <w:szCs w:val="28"/>
          <w:lang w:eastAsia="en-US"/>
        </w:rPr>
      </w:pPr>
    </w:p>
    <w:p w:rsidR="006505AE" w:rsidRPr="006505AE" w:rsidRDefault="006505AE" w:rsidP="006505AE">
      <w:pPr>
        <w:jc w:val="center"/>
        <w:rPr>
          <w:b/>
          <w:sz w:val="28"/>
          <w:szCs w:val="28"/>
        </w:rPr>
      </w:pPr>
      <w:r w:rsidRPr="006505AE">
        <w:rPr>
          <w:b/>
          <w:sz w:val="28"/>
          <w:szCs w:val="28"/>
        </w:rPr>
        <w:t xml:space="preserve">Требования, предъявляемые к услугам </w:t>
      </w:r>
    </w:p>
    <w:p w:rsidR="006505AE" w:rsidRPr="006505AE" w:rsidRDefault="006505AE" w:rsidP="006505AE">
      <w:pPr>
        <w:jc w:val="center"/>
        <w:rPr>
          <w:b/>
          <w:sz w:val="28"/>
          <w:szCs w:val="28"/>
        </w:rPr>
      </w:pPr>
      <w:r w:rsidRPr="006505AE">
        <w:rPr>
          <w:b/>
          <w:sz w:val="28"/>
          <w:szCs w:val="28"/>
        </w:rPr>
        <w:t>по управлению репутацией ОАО «Сбер Банк»</w:t>
      </w:r>
    </w:p>
    <w:p w:rsidR="006505AE" w:rsidRPr="006505AE" w:rsidRDefault="006505AE" w:rsidP="006505AE">
      <w:pPr>
        <w:rPr>
          <w:sz w:val="28"/>
          <w:szCs w:val="28"/>
        </w:rPr>
      </w:pP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Срок оказываемых услуг: с 01.0</w:t>
      </w:r>
      <w:r>
        <w:rPr>
          <w:sz w:val="28"/>
          <w:szCs w:val="28"/>
        </w:rPr>
        <w:t>4</w:t>
      </w:r>
      <w:r w:rsidRPr="006505AE">
        <w:rPr>
          <w:sz w:val="28"/>
          <w:szCs w:val="28"/>
        </w:rPr>
        <w:t xml:space="preserve">.2022 по </w:t>
      </w:r>
      <w:r>
        <w:rPr>
          <w:sz w:val="28"/>
          <w:szCs w:val="28"/>
        </w:rPr>
        <w:t>31</w:t>
      </w:r>
      <w:r w:rsidRPr="006505AE">
        <w:rPr>
          <w:sz w:val="28"/>
          <w:szCs w:val="28"/>
        </w:rPr>
        <w:t>.0</w:t>
      </w:r>
      <w:r>
        <w:rPr>
          <w:sz w:val="28"/>
          <w:szCs w:val="28"/>
        </w:rPr>
        <w:t>3</w:t>
      </w:r>
      <w:r w:rsidRPr="006505AE">
        <w:rPr>
          <w:sz w:val="28"/>
          <w:szCs w:val="28"/>
        </w:rPr>
        <w:t>.2023.</w:t>
      </w:r>
    </w:p>
    <w:p w:rsidR="006505AE" w:rsidRPr="006505AE" w:rsidRDefault="006505AE" w:rsidP="006505AE">
      <w:pPr>
        <w:rPr>
          <w:sz w:val="28"/>
          <w:szCs w:val="28"/>
        </w:rPr>
      </w:pPr>
    </w:p>
    <w:p w:rsidR="006505AE" w:rsidRPr="006505AE" w:rsidRDefault="006505AE" w:rsidP="006505AE">
      <w:pPr>
        <w:rPr>
          <w:b/>
          <w:sz w:val="28"/>
          <w:szCs w:val="28"/>
        </w:rPr>
      </w:pPr>
      <w:r w:rsidRPr="006505AE">
        <w:rPr>
          <w:b/>
          <w:sz w:val="28"/>
          <w:szCs w:val="28"/>
        </w:rPr>
        <w:t>1. Реагирование на отзывы/обращения клиентов в сети интернет:</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 xml:space="preserve">1.1. Мониторинг и размещение ответов на отзывы на </w:t>
      </w:r>
      <w:r w:rsidR="00D61D33" w:rsidRPr="006505AE">
        <w:rPr>
          <w:sz w:val="28"/>
          <w:szCs w:val="28"/>
        </w:rPr>
        <w:t>популярных порталах</w:t>
      </w:r>
      <w:r w:rsidRPr="006505AE">
        <w:rPr>
          <w:sz w:val="28"/>
          <w:szCs w:val="28"/>
        </w:rPr>
        <w:t xml:space="preserve"> и картографических сервисах: </w:t>
      </w:r>
    </w:p>
    <w:p w:rsidR="006505AE" w:rsidRPr="006505AE" w:rsidRDefault="0013116C" w:rsidP="006505AE">
      <w:pPr>
        <w:numPr>
          <w:ilvl w:val="0"/>
          <w:numId w:val="25"/>
        </w:numPr>
        <w:contextualSpacing/>
        <w:rPr>
          <w:sz w:val="28"/>
          <w:szCs w:val="28"/>
        </w:rPr>
      </w:pPr>
      <w:hyperlink r:id="rId9"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infobank</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rPr>
        <w:t>;</w:t>
      </w:r>
    </w:p>
    <w:p w:rsidR="006505AE" w:rsidRPr="006505AE" w:rsidRDefault="0013116C" w:rsidP="006505AE">
      <w:pPr>
        <w:numPr>
          <w:ilvl w:val="0"/>
          <w:numId w:val="25"/>
        </w:numPr>
        <w:contextualSpacing/>
        <w:rPr>
          <w:sz w:val="28"/>
          <w:szCs w:val="28"/>
        </w:rPr>
      </w:pPr>
      <w:hyperlink r:id="rId10"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myfin</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rPr>
        <w:t>;</w:t>
      </w:r>
    </w:p>
    <w:p w:rsidR="006505AE" w:rsidRPr="006505AE" w:rsidRDefault="0013116C" w:rsidP="006505AE">
      <w:pPr>
        <w:numPr>
          <w:ilvl w:val="0"/>
          <w:numId w:val="25"/>
        </w:numPr>
        <w:contextualSpacing/>
        <w:rPr>
          <w:sz w:val="28"/>
          <w:szCs w:val="28"/>
        </w:rPr>
      </w:pPr>
      <w:hyperlink r:id="rId11"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onliner</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rPr>
        <w:t>;</w:t>
      </w:r>
    </w:p>
    <w:p w:rsidR="006505AE" w:rsidRPr="006505AE" w:rsidRDefault="0013116C" w:rsidP="006505AE">
      <w:pPr>
        <w:numPr>
          <w:ilvl w:val="0"/>
          <w:numId w:val="25"/>
        </w:numPr>
        <w:contextualSpacing/>
        <w:rPr>
          <w:color w:val="0000FF" w:themeColor="hyperlink"/>
          <w:sz w:val="28"/>
          <w:szCs w:val="28"/>
          <w:u w:val="single"/>
        </w:rPr>
      </w:pPr>
      <w:hyperlink r:id="rId12"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otzyvy</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rPr>
        <w:t>;</w:t>
      </w:r>
    </w:p>
    <w:p w:rsidR="006505AE" w:rsidRPr="006505AE" w:rsidRDefault="0013116C" w:rsidP="006505AE">
      <w:pPr>
        <w:numPr>
          <w:ilvl w:val="0"/>
          <w:numId w:val="25"/>
        </w:numPr>
        <w:contextualSpacing/>
        <w:rPr>
          <w:color w:val="0000FF" w:themeColor="hyperlink"/>
          <w:sz w:val="28"/>
          <w:szCs w:val="28"/>
          <w:u w:val="single"/>
        </w:rPr>
      </w:pPr>
      <w:hyperlink r:id="rId13"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tam</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lang w:val="en-US"/>
        </w:rPr>
        <w:t>;</w:t>
      </w:r>
    </w:p>
    <w:p w:rsidR="006505AE" w:rsidRPr="006505AE" w:rsidRDefault="0013116C" w:rsidP="006505AE">
      <w:pPr>
        <w:numPr>
          <w:ilvl w:val="0"/>
          <w:numId w:val="25"/>
        </w:numPr>
        <w:contextualSpacing/>
        <w:rPr>
          <w:color w:val="0000FF" w:themeColor="hyperlink"/>
          <w:sz w:val="28"/>
          <w:szCs w:val="28"/>
          <w:u w:val="single"/>
        </w:rPr>
      </w:pPr>
      <w:hyperlink r:id="rId14"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benefit</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color w:val="0000FF" w:themeColor="hyperlink"/>
          <w:sz w:val="28"/>
          <w:szCs w:val="28"/>
          <w:u w:val="single"/>
          <w:lang w:val="en-US"/>
        </w:rPr>
        <w:t>;</w:t>
      </w:r>
    </w:p>
    <w:p w:rsidR="006505AE" w:rsidRPr="006505AE" w:rsidRDefault="0013116C" w:rsidP="006505AE">
      <w:pPr>
        <w:numPr>
          <w:ilvl w:val="0"/>
          <w:numId w:val="25"/>
        </w:numPr>
        <w:contextualSpacing/>
        <w:rPr>
          <w:color w:val="0000FF" w:themeColor="hyperlink"/>
          <w:sz w:val="28"/>
          <w:szCs w:val="28"/>
          <w:u w:val="single"/>
        </w:rPr>
      </w:pPr>
      <w:hyperlink r:id="rId15" w:history="1">
        <w:r w:rsidR="006505AE" w:rsidRPr="006505AE">
          <w:rPr>
            <w:color w:val="0000FF" w:themeColor="hyperlink"/>
            <w:sz w:val="28"/>
            <w:szCs w:val="28"/>
            <w:u w:val="single"/>
            <w:lang w:val="en-US"/>
          </w:rPr>
          <w:t>www</w:t>
        </w:r>
        <w:r w:rsidR="006505AE" w:rsidRPr="006505AE">
          <w:rPr>
            <w:color w:val="0000FF" w:themeColor="hyperlink"/>
            <w:sz w:val="28"/>
            <w:szCs w:val="28"/>
            <w:u w:val="single"/>
          </w:rPr>
          <w:t>.</w:t>
        </w:r>
        <w:r w:rsidR="006505AE" w:rsidRPr="006505AE">
          <w:rPr>
            <w:color w:val="0000FF" w:themeColor="hyperlink"/>
            <w:sz w:val="28"/>
            <w:szCs w:val="28"/>
            <w:u w:val="single"/>
            <w:lang w:val="en-US"/>
          </w:rPr>
          <w:t>otzyvik</w:t>
        </w:r>
        <w:r w:rsidR="006505AE" w:rsidRPr="006505AE">
          <w:rPr>
            <w:color w:val="0000FF" w:themeColor="hyperlink"/>
            <w:sz w:val="28"/>
            <w:szCs w:val="28"/>
            <w:u w:val="single"/>
          </w:rPr>
          <w:t>.</w:t>
        </w:r>
        <w:r w:rsidR="006505AE" w:rsidRPr="006505AE">
          <w:rPr>
            <w:color w:val="0000FF" w:themeColor="hyperlink"/>
            <w:sz w:val="28"/>
            <w:szCs w:val="28"/>
            <w:u w:val="single"/>
            <w:lang w:val="en-US"/>
          </w:rPr>
          <w:t>by</w:t>
        </w:r>
      </w:hyperlink>
      <w:r w:rsidR="006505AE" w:rsidRPr="006505AE">
        <w:rPr>
          <w:sz w:val="28"/>
          <w:szCs w:val="28"/>
        </w:rPr>
        <w:t>,</w:t>
      </w:r>
    </w:p>
    <w:p w:rsidR="006505AE" w:rsidRPr="006505AE" w:rsidRDefault="006505AE" w:rsidP="006505AE">
      <w:pPr>
        <w:numPr>
          <w:ilvl w:val="0"/>
          <w:numId w:val="25"/>
        </w:numPr>
        <w:contextualSpacing/>
        <w:rPr>
          <w:color w:val="0000FF" w:themeColor="hyperlink"/>
          <w:sz w:val="28"/>
          <w:szCs w:val="28"/>
          <w:u w:val="single"/>
        </w:rPr>
      </w:pPr>
      <w:r w:rsidRPr="006505AE">
        <w:rPr>
          <w:sz w:val="28"/>
          <w:szCs w:val="28"/>
          <w:lang w:val="en-US"/>
        </w:rPr>
        <w:t xml:space="preserve">Google </w:t>
      </w:r>
      <w:r w:rsidRPr="006505AE">
        <w:rPr>
          <w:sz w:val="28"/>
          <w:szCs w:val="28"/>
        </w:rPr>
        <w:t>карты;</w:t>
      </w:r>
    </w:p>
    <w:p w:rsidR="006505AE" w:rsidRPr="006505AE" w:rsidRDefault="006505AE" w:rsidP="006505AE">
      <w:pPr>
        <w:numPr>
          <w:ilvl w:val="0"/>
          <w:numId w:val="25"/>
        </w:numPr>
        <w:contextualSpacing/>
        <w:rPr>
          <w:color w:val="0000FF" w:themeColor="hyperlink"/>
          <w:sz w:val="28"/>
          <w:szCs w:val="28"/>
          <w:u w:val="single"/>
        </w:rPr>
      </w:pPr>
      <w:r w:rsidRPr="006505AE">
        <w:rPr>
          <w:sz w:val="28"/>
          <w:szCs w:val="28"/>
        </w:rPr>
        <w:t>Яндекс карты;</w:t>
      </w:r>
    </w:p>
    <w:p w:rsidR="006505AE" w:rsidRPr="006505AE" w:rsidRDefault="006505AE" w:rsidP="006505AE">
      <w:pPr>
        <w:rPr>
          <w:color w:val="0000FF" w:themeColor="hyperlink"/>
          <w:sz w:val="28"/>
          <w:szCs w:val="28"/>
          <w:u w:val="single"/>
        </w:rPr>
      </w:pPr>
      <w:r w:rsidRPr="006505AE">
        <w:rPr>
          <w:sz w:val="28"/>
          <w:szCs w:val="28"/>
        </w:rPr>
        <w:t xml:space="preserve">а также иных площадок при упоминании бренда (кроме аккаунтов Банка в </w:t>
      </w:r>
      <w:r w:rsidRPr="006505AE">
        <w:rPr>
          <w:sz w:val="28"/>
          <w:szCs w:val="28"/>
          <w:lang w:val="en-US"/>
        </w:rPr>
        <w:t>Instagram</w:t>
      </w:r>
      <w:r w:rsidRPr="006505AE">
        <w:rPr>
          <w:sz w:val="28"/>
          <w:szCs w:val="28"/>
        </w:rPr>
        <w:t xml:space="preserve">, </w:t>
      </w:r>
      <w:r w:rsidRPr="006505AE">
        <w:rPr>
          <w:sz w:val="28"/>
          <w:szCs w:val="28"/>
          <w:lang w:val="en-US"/>
        </w:rPr>
        <w:t>Facebook</w:t>
      </w:r>
      <w:r w:rsidRPr="006505AE">
        <w:rPr>
          <w:sz w:val="28"/>
          <w:szCs w:val="28"/>
        </w:rPr>
        <w:t xml:space="preserve">, </w:t>
      </w:r>
      <w:r w:rsidRPr="006505AE">
        <w:rPr>
          <w:sz w:val="28"/>
          <w:szCs w:val="28"/>
          <w:lang w:val="en-US"/>
        </w:rPr>
        <w:t>Tik</w:t>
      </w:r>
      <w:r w:rsidRPr="006505AE">
        <w:rPr>
          <w:sz w:val="28"/>
          <w:szCs w:val="28"/>
        </w:rPr>
        <w:t xml:space="preserve"> </w:t>
      </w:r>
      <w:r w:rsidRPr="006505AE">
        <w:rPr>
          <w:sz w:val="28"/>
          <w:szCs w:val="28"/>
          <w:lang w:val="en-US"/>
        </w:rPr>
        <w:t>Tok</w:t>
      </w:r>
      <w:r w:rsidRPr="006505AE">
        <w:rPr>
          <w:sz w:val="28"/>
          <w:szCs w:val="28"/>
        </w:rPr>
        <w:t xml:space="preserve">, </w:t>
      </w:r>
      <w:r w:rsidRPr="006505AE">
        <w:rPr>
          <w:sz w:val="28"/>
          <w:szCs w:val="28"/>
          <w:lang w:val="en-US"/>
        </w:rPr>
        <w:t>YouTube</w:t>
      </w:r>
      <w:r w:rsidRPr="006505AE">
        <w:rPr>
          <w:sz w:val="28"/>
          <w:szCs w:val="28"/>
        </w:rPr>
        <w:t xml:space="preserve">, </w:t>
      </w:r>
      <w:r w:rsidRPr="006505AE">
        <w:rPr>
          <w:sz w:val="28"/>
          <w:szCs w:val="28"/>
          <w:lang w:val="en-US"/>
        </w:rPr>
        <w:t>VK</w:t>
      </w:r>
      <w:r w:rsidRPr="006505AE">
        <w:rPr>
          <w:sz w:val="28"/>
          <w:szCs w:val="28"/>
        </w:rPr>
        <w:t xml:space="preserve">, </w:t>
      </w:r>
      <w:r w:rsidRPr="006505AE">
        <w:rPr>
          <w:sz w:val="28"/>
          <w:szCs w:val="28"/>
          <w:lang w:val="en-US"/>
        </w:rPr>
        <w:t>Twitter</w:t>
      </w:r>
      <w:r w:rsidRPr="006505AE">
        <w:rPr>
          <w:sz w:val="28"/>
          <w:szCs w:val="28"/>
        </w:rPr>
        <w:t xml:space="preserve">, </w:t>
      </w:r>
      <w:r w:rsidRPr="006505AE">
        <w:rPr>
          <w:sz w:val="28"/>
          <w:szCs w:val="28"/>
          <w:lang w:val="en-US"/>
        </w:rPr>
        <w:t>LinkedIn</w:t>
      </w:r>
      <w:r w:rsidRPr="006505AE">
        <w:rPr>
          <w:sz w:val="28"/>
          <w:szCs w:val="28"/>
        </w:rPr>
        <w:t xml:space="preserve">). </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 xml:space="preserve">1.2. Мониторинг и размещение ответов на отзывы в приложении СберБанк Онлайн Беларусь в </w:t>
      </w:r>
      <w:r w:rsidRPr="006505AE">
        <w:rPr>
          <w:sz w:val="28"/>
          <w:szCs w:val="28"/>
          <w:lang w:val="en-US"/>
        </w:rPr>
        <w:t>App</w:t>
      </w:r>
      <w:r w:rsidRPr="006505AE">
        <w:rPr>
          <w:sz w:val="28"/>
          <w:szCs w:val="28"/>
        </w:rPr>
        <w:t xml:space="preserve"> </w:t>
      </w:r>
      <w:r w:rsidRPr="006505AE">
        <w:rPr>
          <w:sz w:val="28"/>
          <w:szCs w:val="28"/>
          <w:lang w:val="en-US"/>
        </w:rPr>
        <w:t>Store</w:t>
      </w:r>
      <w:r w:rsidRPr="006505AE">
        <w:rPr>
          <w:sz w:val="28"/>
          <w:szCs w:val="28"/>
        </w:rPr>
        <w:t xml:space="preserve"> и </w:t>
      </w:r>
      <w:r w:rsidRPr="006505AE">
        <w:rPr>
          <w:sz w:val="28"/>
          <w:szCs w:val="28"/>
          <w:lang w:val="en-US"/>
        </w:rPr>
        <w:t>Play</w:t>
      </w:r>
      <w:r w:rsidRPr="006505AE">
        <w:rPr>
          <w:sz w:val="28"/>
          <w:szCs w:val="28"/>
        </w:rPr>
        <w:t xml:space="preserve"> </w:t>
      </w:r>
      <w:r w:rsidRPr="006505AE">
        <w:rPr>
          <w:sz w:val="28"/>
          <w:szCs w:val="28"/>
          <w:lang w:val="en-US"/>
        </w:rPr>
        <w:t>Market</w:t>
      </w:r>
      <w:r w:rsidRPr="006505AE">
        <w:rPr>
          <w:sz w:val="28"/>
          <w:szCs w:val="28"/>
        </w:rPr>
        <w:t>.</w:t>
      </w:r>
    </w:p>
    <w:p w:rsidR="006505AE" w:rsidRPr="006505AE" w:rsidRDefault="006505AE" w:rsidP="006505AE">
      <w:pPr>
        <w:rPr>
          <w:i/>
          <w:sz w:val="28"/>
          <w:szCs w:val="28"/>
        </w:rPr>
      </w:pPr>
    </w:p>
    <w:p w:rsidR="006505AE" w:rsidRPr="006505AE" w:rsidRDefault="006505AE" w:rsidP="006505AE">
      <w:pPr>
        <w:rPr>
          <w:i/>
          <w:sz w:val="28"/>
          <w:szCs w:val="28"/>
        </w:rPr>
      </w:pPr>
      <w:r w:rsidRPr="006505AE">
        <w:rPr>
          <w:i/>
          <w:sz w:val="28"/>
          <w:szCs w:val="28"/>
        </w:rPr>
        <w:t>Схема работы (</w:t>
      </w:r>
      <w:r w:rsidRPr="006505AE">
        <w:rPr>
          <w:rFonts w:eastAsiaTheme="minorHAnsi"/>
          <w:i/>
          <w:iCs/>
          <w:color w:val="000000"/>
          <w:sz w:val="28"/>
          <w:szCs w:val="28"/>
          <w:lang w:eastAsia="en-US"/>
        </w:rPr>
        <w:t>если требуется официальный ответ банка):</w:t>
      </w:r>
    </w:p>
    <w:p w:rsidR="006505AE" w:rsidRPr="006505AE" w:rsidRDefault="006505AE" w:rsidP="006505AE">
      <w:pPr>
        <w:rPr>
          <w:sz w:val="28"/>
          <w:szCs w:val="28"/>
        </w:rPr>
      </w:pPr>
      <w:r w:rsidRPr="006505AE">
        <w:rPr>
          <w:sz w:val="28"/>
          <w:szCs w:val="28"/>
        </w:rPr>
        <w:t>Ежедневный мониторинг - Передача выявленных отзывов в Банк - Ожидание ответа - Размещение от официального аккаунта полученного ответа на отзыв/обращение.</w:t>
      </w:r>
    </w:p>
    <w:p w:rsidR="006505AE" w:rsidRPr="006505AE" w:rsidRDefault="006505AE" w:rsidP="006505AE">
      <w:pPr>
        <w:rPr>
          <w:sz w:val="28"/>
          <w:szCs w:val="28"/>
        </w:rPr>
      </w:pPr>
    </w:p>
    <w:p w:rsidR="006505AE" w:rsidRPr="006505AE" w:rsidRDefault="006505AE" w:rsidP="006505AE">
      <w:pPr>
        <w:rPr>
          <w:sz w:val="28"/>
          <w:szCs w:val="28"/>
        </w:rPr>
      </w:pPr>
      <w:r w:rsidRPr="006505AE">
        <w:rPr>
          <w:b/>
          <w:sz w:val="28"/>
          <w:szCs w:val="28"/>
        </w:rPr>
        <w:t>2. Мониторинг упоминаний бренда в интернете:</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 Анализ упоминаний в режиме реального времени с использованием системы сканирования интернет-пространства для мониторинга социальных медиа и СМИ (ежедневное предоставление материалов);</w:t>
      </w:r>
    </w:p>
    <w:p w:rsidR="006505AE" w:rsidRPr="006505AE" w:rsidRDefault="006505AE" w:rsidP="006505AE">
      <w:pPr>
        <w:autoSpaceDE w:val="0"/>
        <w:autoSpaceDN w:val="0"/>
        <w:adjustRightInd w:val="0"/>
        <w:rPr>
          <w:rFonts w:eastAsiaTheme="minorHAnsi"/>
          <w:color w:val="000000"/>
          <w:sz w:val="28"/>
          <w:szCs w:val="28"/>
          <w:lang w:eastAsia="en-US"/>
        </w:rPr>
      </w:pPr>
      <w:r w:rsidRPr="006505AE">
        <w:rPr>
          <w:rFonts w:eastAsiaTheme="minorHAnsi"/>
          <w:color w:val="000000"/>
          <w:sz w:val="28"/>
          <w:szCs w:val="28"/>
          <w:lang w:eastAsia="en-US"/>
        </w:rPr>
        <w:t>- Мониторинг упоминаний бренда ОАО «Сбер Банк» в СМИ;</w:t>
      </w:r>
    </w:p>
    <w:p w:rsidR="006505AE" w:rsidRPr="006505AE" w:rsidRDefault="006505AE" w:rsidP="006505AE">
      <w:pPr>
        <w:rPr>
          <w:rFonts w:eastAsiaTheme="minorHAnsi"/>
          <w:color w:val="000000"/>
          <w:sz w:val="28"/>
          <w:szCs w:val="28"/>
          <w:lang w:eastAsia="en-US"/>
        </w:rPr>
      </w:pPr>
      <w:r w:rsidRPr="006505AE">
        <w:rPr>
          <w:rFonts w:eastAsiaTheme="minorHAnsi"/>
          <w:color w:val="000000"/>
          <w:sz w:val="28"/>
          <w:szCs w:val="28"/>
          <w:lang w:eastAsia="en-US"/>
        </w:rPr>
        <w:t>- Мониторинг упоминаний бренда ОАО «Сбер Банк» в социальных сетях;</w:t>
      </w:r>
    </w:p>
    <w:p w:rsidR="006505AE" w:rsidRPr="006505AE" w:rsidRDefault="006505AE" w:rsidP="006505AE">
      <w:pPr>
        <w:rPr>
          <w:sz w:val="28"/>
          <w:szCs w:val="28"/>
        </w:rPr>
      </w:pPr>
      <w:r w:rsidRPr="006505AE">
        <w:rPr>
          <w:sz w:val="28"/>
          <w:szCs w:val="28"/>
        </w:rPr>
        <w:t>- Мониторинг упоминаний топ-5 конкурентов.</w:t>
      </w:r>
    </w:p>
    <w:p w:rsidR="006505AE" w:rsidRPr="006505AE" w:rsidRDefault="006505AE" w:rsidP="006505AE">
      <w:pPr>
        <w:rPr>
          <w:sz w:val="28"/>
          <w:szCs w:val="28"/>
        </w:rPr>
      </w:pPr>
    </w:p>
    <w:p w:rsidR="006505AE" w:rsidRPr="006505AE" w:rsidRDefault="006505AE" w:rsidP="006505AE">
      <w:pPr>
        <w:rPr>
          <w:b/>
          <w:sz w:val="28"/>
          <w:szCs w:val="28"/>
        </w:rPr>
      </w:pPr>
      <w:r w:rsidRPr="006505AE">
        <w:rPr>
          <w:b/>
          <w:sz w:val="28"/>
          <w:szCs w:val="28"/>
        </w:rPr>
        <w:t xml:space="preserve">3. Формирование отзывов агентами влияния (вспомогательный инструмент для создания позитивного фона о Банке) </w:t>
      </w:r>
    </w:p>
    <w:p w:rsidR="006505AE" w:rsidRPr="006505AE" w:rsidRDefault="006505AE" w:rsidP="006505AE">
      <w:pPr>
        <w:rPr>
          <w:sz w:val="28"/>
          <w:szCs w:val="28"/>
        </w:rPr>
      </w:pPr>
    </w:p>
    <w:p w:rsidR="006505AE" w:rsidRPr="006505AE" w:rsidRDefault="006505AE" w:rsidP="006505AE">
      <w:pPr>
        <w:rPr>
          <w:i/>
          <w:sz w:val="28"/>
          <w:szCs w:val="28"/>
        </w:rPr>
      </w:pPr>
      <w:r w:rsidRPr="006505AE">
        <w:rPr>
          <w:i/>
          <w:sz w:val="28"/>
          <w:szCs w:val="28"/>
        </w:rPr>
        <w:t>Схема работы:</w:t>
      </w:r>
    </w:p>
    <w:p w:rsidR="006505AE" w:rsidRPr="006505AE" w:rsidRDefault="006505AE" w:rsidP="006505AE">
      <w:pPr>
        <w:rPr>
          <w:sz w:val="28"/>
          <w:szCs w:val="28"/>
        </w:rPr>
      </w:pPr>
      <w:r w:rsidRPr="006505AE">
        <w:rPr>
          <w:sz w:val="28"/>
          <w:szCs w:val="28"/>
        </w:rPr>
        <w:t>Агенты влияния (клиенты) оставляют положительные отзывы, тем самым балансируют негативных фон на интернет-порталах, картографических сервисах и в магазинах приложений.</w:t>
      </w:r>
    </w:p>
    <w:p w:rsidR="006505AE" w:rsidRPr="006505AE" w:rsidRDefault="006505AE" w:rsidP="006505AE">
      <w:pPr>
        <w:rPr>
          <w:sz w:val="28"/>
          <w:szCs w:val="28"/>
        </w:rPr>
      </w:pPr>
    </w:p>
    <w:p w:rsidR="006505AE" w:rsidRPr="006505AE" w:rsidRDefault="006505AE" w:rsidP="006505AE">
      <w:pPr>
        <w:rPr>
          <w:b/>
          <w:sz w:val="28"/>
          <w:szCs w:val="28"/>
        </w:rPr>
      </w:pPr>
      <w:r w:rsidRPr="006505AE">
        <w:rPr>
          <w:b/>
          <w:sz w:val="28"/>
          <w:szCs w:val="28"/>
        </w:rPr>
        <w:t xml:space="preserve">4. Работа с рейтингами офисов Банка в </w:t>
      </w:r>
      <w:r w:rsidRPr="006505AE">
        <w:rPr>
          <w:b/>
          <w:sz w:val="28"/>
          <w:szCs w:val="28"/>
          <w:lang w:val="en-US"/>
        </w:rPr>
        <w:t>Google</w:t>
      </w:r>
      <w:r w:rsidRPr="006505AE">
        <w:rPr>
          <w:b/>
          <w:sz w:val="28"/>
          <w:szCs w:val="28"/>
        </w:rPr>
        <w:t xml:space="preserve"> и Яндекс картах:</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4.1.  Анализ текущего состояния офисов в поисковых системах с локальными запросами;</w:t>
      </w:r>
    </w:p>
    <w:p w:rsidR="006505AE" w:rsidRPr="006505AE" w:rsidRDefault="006505AE" w:rsidP="006505AE">
      <w:pPr>
        <w:rPr>
          <w:sz w:val="28"/>
          <w:szCs w:val="28"/>
        </w:rPr>
      </w:pPr>
      <w:r w:rsidRPr="006505AE">
        <w:rPr>
          <w:sz w:val="28"/>
          <w:szCs w:val="28"/>
        </w:rPr>
        <w:t>4.2. Оптимизация карточек в соответствии с факторами ранжирования в поисковых системах:</w:t>
      </w:r>
    </w:p>
    <w:p w:rsidR="006505AE" w:rsidRPr="006505AE" w:rsidRDefault="006505AE" w:rsidP="006505AE">
      <w:pPr>
        <w:rPr>
          <w:sz w:val="28"/>
          <w:szCs w:val="28"/>
        </w:rPr>
      </w:pPr>
      <w:r w:rsidRPr="006505AE">
        <w:rPr>
          <w:sz w:val="28"/>
          <w:szCs w:val="28"/>
        </w:rPr>
        <w:t>- Добавление локаций в карты (при необходимости);</w:t>
      </w:r>
    </w:p>
    <w:p w:rsidR="006505AE" w:rsidRPr="006505AE" w:rsidRDefault="006505AE" w:rsidP="006505AE">
      <w:pPr>
        <w:rPr>
          <w:sz w:val="28"/>
          <w:szCs w:val="28"/>
        </w:rPr>
      </w:pPr>
      <w:r w:rsidRPr="006505AE">
        <w:rPr>
          <w:sz w:val="28"/>
          <w:szCs w:val="28"/>
        </w:rPr>
        <w:t>- Подтверждение прав пользования (при необходимости);</w:t>
      </w:r>
    </w:p>
    <w:p w:rsidR="006505AE" w:rsidRPr="006505AE" w:rsidRDefault="006505AE" w:rsidP="006505AE">
      <w:pPr>
        <w:rPr>
          <w:sz w:val="28"/>
          <w:szCs w:val="28"/>
        </w:rPr>
      </w:pPr>
      <w:r w:rsidRPr="006505AE">
        <w:rPr>
          <w:sz w:val="28"/>
          <w:szCs w:val="28"/>
        </w:rPr>
        <w:t>- Проверка и корректировка релевантности данных: адрес, режи</w:t>
      </w:r>
      <w:r w:rsidR="00D61D33">
        <w:rPr>
          <w:sz w:val="28"/>
          <w:szCs w:val="28"/>
        </w:rPr>
        <w:t xml:space="preserve">м работы, телефон, сайт, </w:t>
      </w:r>
      <w:r w:rsidRPr="006505AE">
        <w:rPr>
          <w:sz w:val="28"/>
          <w:szCs w:val="28"/>
        </w:rPr>
        <w:t>описание, перечень оказываемых услуг и т.д., заполнение каждой карточки на 100%;</w:t>
      </w:r>
    </w:p>
    <w:p w:rsidR="006505AE" w:rsidRPr="006505AE" w:rsidRDefault="006505AE" w:rsidP="006505AE">
      <w:pPr>
        <w:rPr>
          <w:sz w:val="28"/>
          <w:szCs w:val="28"/>
        </w:rPr>
      </w:pPr>
      <w:r w:rsidRPr="006505AE">
        <w:rPr>
          <w:sz w:val="28"/>
          <w:szCs w:val="28"/>
        </w:rPr>
        <w:t xml:space="preserve">- Добавление и редактирование фотографий от Банка; </w:t>
      </w:r>
    </w:p>
    <w:p w:rsidR="006505AE" w:rsidRPr="006505AE" w:rsidRDefault="006505AE" w:rsidP="006505AE">
      <w:pPr>
        <w:rPr>
          <w:sz w:val="28"/>
          <w:szCs w:val="28"/>
        </w:rPr>
      </w:pPr>
      <w:r w:rsidRPr="006505AE">
        <w:rPr>
          <w:sz w:val="28"/>
          <w:szCs w:val="28"/>
        </w:rPr>
        <w:t>- Подготовка и размещение акций/новостей Банка в картографических сервисах (до 3х новостей/акций ежемесячно);</w:t>
      </w:r>
    </w:p>
    <w:p w:rsidR="006505AE" w:rsidRPr="006505AE" w:rsidRDefault="006505AE" w:rsidP="006505AE">
      <w:pPr>
        <w:rPr>
          <w:sz w:val="28"/>
          <w:szCs w:val="28"/>
        </w:rPr>
      </w:pPr>
      <w:r w:rsidRPr="006505AE">
        <w:rPr>
          <w:sz w:val="28"/>
          <w:szCs w:val="28"/>
        </w:rPr>
        <w:t>- Защита данных карточек от несанкционированных изменений третьими лицами;</w:t>
      </w:r>
    </w:p>
    <w:p w:rsidR="006505AE" w:rsidRPr="006505AE" w:rsidRDefault="006505AE" w:rsidP="006505AE">
      <w:pPr>
        <w:rPr>
          <w:sz w:val="28"/>
          <w:szCs w:val="28"/>
        </w:rPr>
      </w:pPr>
      <w:r w:rsidRPr="006505AE">
        <w:rPr>
          <w:sz w:val="28"/>
          <w:szCs w:val="28"/>
        </w:rPr>
        <w:t>- Мониторинг отзывов о Банке 24/7;</w:t>
      </w:r>
    </w:p>
    <w:p w:rsidR="006505AE" w:rsidRPr="006505AE" w:rsidRDefault="006505AE" w:rsidP="006505AE">
      <w:pPr>
        <w:rPr>
          <w:sz w:val="28"/>
          <w:szCs w:val="28"/>
        </w:rPr>
      </w:pPr>
      <w:r w:rsidRPr="006505AE">
        <w:rPr>
          <w:sz w:val="28"/>
          <w:szCs w:val="28"/>
        </w:rPr>
        <w:t>- Оперативное реагирование на отзывы о компании (при необходимости дополнительные уточнения у представителей Банка посредством электронной почты, мессенджера): пн-чт: 08.30-17.30, пт: 8.30-16.15, скорость реагирования – не позднее 2-х часов с момента поступления отзыва в справочник (если не требуется уточнение).</w:t>
      </w:r>
    </w:p>
    <w:p w:rsidR="006505AE" w:rsidRPr="006505AE" w:rsidRDefault="006505AE" w:rsidP="006505AE">
      <w:pPr>
        <w:rPr>
          <w:sz w:val="28"/>
          <w:szCs w:val="28"/>
        </w:rPr>
      </w:pPr>
      <w:r w:rsidRPr="006505AE">
        <w:rPr>
          <w:sz w:val="28"/>
          <w:szCs w:val="28"/>
        </w:rPr>
        <w:t>4. 3. Увеличение рейтинга:</w:t>
      </w:r>
    </w:p>
    <w:p w:rsidR="006505AE" w:rsidRPr="006505AE" w:rsidRDefault="006505AE" w:rsidP="006505AE">
      <w:pPr>
        <w:rPr>
          <w:sz w:val="28"/>
          <w:szCs w:val="28"/>
        </w:rPr>
      </w:pPr>
      <w:r w:rsidRPr="006505AE">
        <w:rPr>
          <w:sz w:val="28"/>
          <w:szCs w:val="28"/>
        </w:rPr>
        <w:t>- Подготовка/корректировка сравнительного анализа в разрезе каждой локации с учетом ближайших топ-3 конкурентов;</w:t>
      </w:r>
    </w:p>
    <w:p w:rsidR="006505AE" w:rsidRPr="006505AE" w:rsidRDefault="006505AE" w:rsidP="006505AE">
      <w:pPr>
        <w:rPr>
          <w:sz w:val="28"/>
          <w:szCs w:val="28"/>
        </w:rPr>
      </w:pPr>
      <w:r w:rsidRPr="006505AE">
        <w:rPr>
          <w:sz w:val="28"/>
          <w:szCs w:val="28"/>
        </w:rPr>
        <w:t xml:space="preserve">- Разработка стратегии в зависимости от позиции конкурентов в соответствии с установленными </w:t>
      </w:r>
      <w:r w:rsidRPr="006505AE">
        <w:rPr>
          <w:sz w:val="28"/>
          <w:szCs w:val="28"/>
          <w:lang w:val="en-US"/>
        </w:rPr>
        <w:t>KPI</w:t>
      </w:r>
      <w:r w:rsidRPr="006505AE">
        <w:rPr>
          <w:sz w:val="28"/>
          <w:szCs w:val="28"/>
        </w:rPr>
        <w:t>.</w:t>
      </w:r>
    </w:p>
    <w:p w:rsidR="006505AE" w:rsidRPr="006505AE" w:rsidRDefault="006505AE" w:rsidP="006505AE">
      <w:pPr>
        <w:rPr>
          <w:sz w:val="28"/>
          <w:szCs w:val="28"/>
        </w:rPr>
      </w:pPr>
    </w:p>
    <w:p w:rsidR="006505AE" w:rsidRPr="006505AE" w:rsidRDefault="006505AE" w:rsidP="006505AE">
      <w:pPr>
        <w:rPr>
          <w:b/>
          <w:sz w:val="28"/>
          <w:szCs w:val="28"/>
        </w:rPr>
      </w:pPr>
      <w:r w:rsidRPr="006505AE">
        <w:rPr>
          <w:b/>
          <w:sz w:val="28"/>
          <w:szCs w:val="28"/>
        </w:rPr>
        <w:t xml:space="preserve">5. Работа с рейтингом мобильного приложения СберБанк Онлайн Беларусь в </w:t>
      </w:r>
      <w:r w:rsidRPr="006505AE">
        <w:rPr>
          <w:b/>
          <w:sz w:val="28"/>
          <w:szCs w:val="28"/>
          <w:lang w:val="en-US"/>
        </w:rPr>
        <w:t>App</w:t>
      </w:r>
      <w:r w:rsidRPr="006505AE">
        <w:rPr>
          <w:b/>
          <w:sz w:val="28"/>
          <w:szCs w:val="28"/>
        </w:rPr>
        <w:t xml:space="preserve"> </w:t>
      </w:r>
      <w:r w:rsidRPr="006505AE">
        <w:rPr>
          <w:b/>
          <w:sz w:val="28"/>
          <w:szCs w:val="28"/>
          <w:lang w:val="en-US"/>
        </w:rPr>
        <w:t>Store</w:t>
      </w:r>
      <w:r w:rsidRPr="006505AE">
        <w:rPr>
          <w:b/>
          <w:sz w:val="28"/>
          <w:szCs w:val="28"/>
        </w:rPr>
        <w:t xml:space="preserve"> и </w:t>
      </w:r>
      <w:r w:rsidRPr="006505AE">
        <w:rPr>
          <w:b/>
          <w:sz w:val="28"/>
          <w:szCs w:val="28"/>
          <w:lang w:val="en-US"/>
        </w:rPr>
        <w:t>Play</w:t>
      </w:r>
      <w:r w:rsidRPr="006505AE">
        <w:rPr>
          <w:b/>
          <w:sz w:val="28"/>
          <w:szCs w:val="28"/>
        </w:rPr>
        <w:t xml:space="preserve"> </w:t>
      </w:r>
      <w:r w:rsidRPr="006505AE">
        <w:rPr>
          <w:b/>
          <w:sz w:val="28"/>
          <w:szCs w:val="28"/>
          <w:lang w:val="en-US"/>
        </w:rPr>
        <w:t>Market</w:t>
      </w:r>
      <w:r w:rsidRPr="006505AE">
        <w:rPr>
          <w:b/>
          <w:sz w:val="28"/>
          <w:szCs w:val="28"/>
        </w:rPr>
        <w:t>:</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5.1. Анализ текущего состояния приложения по сравнению с топ-5 конкурентов;</w:t>
      </w:r>
    </w:p>
    <w:p w:rsidR="006505AE" w:rsidRPr="006505AE" w:rsidRDefault="006505AE" w:rsidP="006505AE">
      <w:pPr>
        <w:rPr>
          <w:sz w:val="28"/>
          <w:szCs w:val="28"/>
        </w:rPr>
      </w:pPr>
      <w:r w:rsidRPr="006505AE">
        <w:rPr>
          <w:sz w:val="28"/>
          <w:szCs w:val="28"/>
        </w:rPr>
        <w:t>5.2. Увеличение рейтинга:</w:t>
      </w:r>
    </w:p>
    <w:p w:rsidR="006505AE" w:rsidRPr="006505AE" w:rsidRDefault="006505AE" w:rsidP="006505AE">
      <w:pPr>
        <w:rPr>
          <w:sz w:val="28"/>
          <w:szCs w:val="28"/>
        </w:rPr>
      </w:pPr>
      <w:r w:rsidRPr="006505AE">
        <w:rPr>
          <w:sz w:val="28"/>
          <w:szCs w:val="28"/>
        </w:rPr>
        <w:t>- Мониторинг отзывов прошлых периодов, коммуникации с клиентами по факту решения их проблем с просьбой поменять оценку на 4-5 звезд;</w:t>
      </w:r>
    </w:p>
    <w:p w:rsidR="006505AE" w:rsidRPr="006505AE" w:rsidRDefault="006505AE" w:rsidP="006505AE">
      <w:pPr>
        <w:rPr>
          <w:sz w:val="28"/>
          <w:szCs w:val="28"/>
        </w:rPr>
      </w:pPr>
      <w:r w:rsidRPr="006505AE">
        <w:rPr>
          <w:sz w:val="28"/>
          <w:szCs w:val="28"/>
        </w:rPr>
        <w:t xml:space="preserve">- Разработка стратегии в зависимости от позиции конкурентов в соответствии с установленными </w:t>
      </w:r>
      <w:r w:rsidRPr="006505AE">
        <w:rPr>
          <w:sz w:val="28"/>
          <w:szCs w:val="28"/>
          <w:lang w:val="en-US"/>
        </w:rPr>
        <w:t>KPI</w:t>
      </w:r>
      <w:r w:rsidRPr="006505AE">
        <w:rPr>
          <w:sz w:val="28"/>
          <w:szCs w:val="28"/>
        </w:rPr>
        <w:t>.</w:t>
      </w:r>
    </w:p>
    <w:p w:rsidR="006505AE" w:rsidRPr="006505AE" w:rsidRDefault="006505AE" w:rsidP="006505AE">
      <w:pPr>
        <w:rPr>
          <w:b/>
          <w:sz w:val="28"/>
          <w:szCs w:val="28"/>
        </w:rPr>
      </w:pPr>
      <w:r w:rsidRPr="006505AE">
        <w:rPr>
          <w:b/>
          <w:sz w:val="28"/>
          <w:szCs w:val="28"/>
        </w:rPr>
        <w:lastRenderedPageBreak/>
        <w:t xml:space="preserve">6. Отчет по управлению репутацией в сети интернет: </w:t>
      </w:r>
    </w:p>
    <w:p w:rsidR="006505AE" w:rsidRPr="006505AE" w:rsidRDefault="006505AE" w:rsidP="006505AE">
      <w:pPr>
        <w:rPr>
          <w:sz w:val="28"/>
          <w:szCs w:val="28"/>
        </w:rPr>
      </w:pPr>
    </w:p>
    <w:p w:rsidR="006505AE" w:rsidRPr="006505AE" w:rsidRDefault="006505AE" w:rsidP="006505AE">
      <w:pPr>
        <w:rPr>
          <w:sz w:val="28"/>
          <w:szCs w:val="28"/>
        </w:rPr>
      </w:pPr>
      <w:r w:rsidRPr="006505AE">
        <w:rPr>
          <w:sz w:val="28"/>
          <w:szCs w:val="28"/>
        </w:rPr>
        <w:t>Отчет должен отображать все виды выполняемых работ и обязательно содержать результат работы по пунктам 1-5:</w:t>
      </w:r>
    </w:p>
    <w:p w:rsidR="006505AE" w:rsidRPr="006505AE" w:rsidRDefault="006505AE" w:rsidP="006505AE">
      <w:pPr>
        <w:rPr>
          <w:sz w:val="28"/>
          <w:szCs w:val="28"/>
        </w:rPr>
      </w:pPr>
    </w:p>
    <w:p w:rsidR="006505AE" w:rsidRPr="006505AE" w:rsidRDefault="006505AE" w:rsidP="006505AE">
      <w:pPr>
        <w:rPr>
          <w:b/>
          <w:sz w:val="28"/>
          <w:szCs w:val="28"/>
        </w:rPr>
      </w:pPr>
      <w:r w:rsidRPr="006505AE">
        <w:rPr>
          <w:sz w:val="28"/>
          <w:szCs w:val="28"/>
        </w:rPr>
        <w:t>- Объем сообщений, опубликованных на каждой площадке, в частности от агентов влияния;</w:t>
      </w:r>
    </w:p>
    <w:p w:rsidR="006505AE" w:rsidRPr="006505AE" w:rsidRDefault="006505AE" w:rsidP="006505AE">
      <w:pPr>
        <w:rPr>
          <w:sz w:val="28"/>
          <w:szCs w:val="28"/>
        </w:rPr>
      </w:pPr>
      <w:r w:rsidRPr="006505AE">
        <w:rPr>
          <w:sz w:val="28"/>
          <w:szCs w:val="28"/>
        </w:rPr>
        <w:t>- Анализ тем, тональности и характера упоминаний бренда в качественных и количественных характеристиках;</w:t>
      </w:r>
    </w:p>
    <w:p w:rsidR="006505AE" w:rsidRPr="006505AE" w:rsidRDefault="006505AE" w:rsidP="006505AE">
      <w:pPr>
        <w:rPr>
          <w:sz w:val="28"/>
          <w:szCs w:val="28"/>
        </w:rPr>
      </w:pPr>
      <w:r w:rsidRPr="006505AE">
        <w:rPr>
          <w:sz w:val="28"/>
          <w:szCs w:val="28"/>
        </w:rPr>
        <w:t>- Сравнение бренда и топ-5 конкурентов;</w:t>
      </w:r>
    </w:p>
    <w:p w:rsidR="006505AE" w:rsidRPr="006505AE" w:rsidRDefault="006505AE" w:rsidP="006505AE">
      <w:pPr>
        <w:rPr>
          <w:sz w:val="28"/>
          <w:szCs w:val="28"/>
        </w:rPr>
      </w:pPr>
      <w:r w:rsidRPr="006505AE">
        <w:rPr>
          <w:sz w:val="28"/>
          <w:szCs w:val="28"/>
        </w:rPr>
        <w:t>- Контент-анализ упоминаний в разрезе каждой локации офисов Банка на картографических сервисах;</w:t>
      </w:r>
    </w:p>
    <w:p w:rsidR="006505AE" w:rsidRPr="006505AE" w:rsidRDefault="006505AE" w:rsidP="006505AE">
      <w:pPr>
        <w:rPr>
          <w:sz w:val="28"/>
          <w:szCs w:val="28"/>
        </w:rPr>
      </w:pPr>
      <w:r w:rsidRPr="006505AE">
        <w:rPr>
          <w:sz w:val="28"/>
          <w:szCs w:val="28"/>
        </w:rPr>
        <w:t>- Результаты работы с рейтингом офисов Банка в картографических сервисах за отчетный месяц, стратегия на следующий месяц;</w:t>
      </w:r>
    </w:p>
    <w:p w:rsidR="006505AE" w:rsidRPr="006505AE" w:rsidRDefault="006505AE" w:rsidP="006505AE">
      <w:pPr>
        <w:rPr>
          <w:sz w:val="28"/>
          <w:szCs w:val="28"/>
        </w:rPr>
      </w:pPr>
      <w:r w:rsidRPr="006505AE">
        <w:rPr>
          <w:sz w:val="28"/>
          <w:szCs w:val="28"/>
        </w:rPr>
        <w:t>- Результаты работы с рейтингом мобильного приложения за отчетный месяц, стратегия на следующий месяц;</w:t>
      </w:r>
    </w:p>
    <w:p w:rsidR="006505AE" w:rsidRPr="006505AE" w:rsidRDefault="006505AE" w:rsidP="006505AE">
      <w:pPr>
        <w:rPr>
          <w:sz w:val="28"/>
          <w:szCs w:val="28"/>
        </w:rPr>
      </w:pPr>
      <w:r w:rsidRPr="006505AE">
        <w:rPr>
          <w:sz w:val="28"/>
          <w:szCs w:val="28"/>
        </w:rPr>
        <w:t>- Примеры реагирования на распространенные негативные поинты;</w:t>
      </w:r>
    </w:p>
    <w:p w:rsidR="006505AE" w:rsidRPr="006505AE" w:rsidRDefault="006505AE" w:rsidP="006505AE">
      <w:pPr>
        <w:rPr>
          <w:sz w:val="28"/>
          <w:szCs w:val="28"/>
        </w:rPr>
      </w:pPr>
      <w:r w:rsidRPr="006505AE">
        <w:rPr>
          <w:sz w:val="28"/>
          <w:szCs w:val="28"/>
        </w:rPr>
        <w:t>- Рекомендации по работе на следующий месяц.</w:t>
      </w:r>
    </w:p>
    <w:p w:rsidR="006505AE" w:rsidRPr="006505AE" w:rsidRDefault="006505AE" w:rsidP="006505AE">
      <w:pPr>
        <w:rPr>
          <w:sz w:val="28"/>
          <w:szCs w:val="28"/>
        </w:rPr>
      </w:pPr>
    </w:p>
    <w:p w:rsidR="006505AE" w:rsidRPr="006505AE" w:rsidRDefault="006505AE" w:rsidP="006505A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2062"/>
        <w:gridCol w:w="1832"/>
        <w:gridCol w:w="1848"/>
        <w:gridCol w:w="1664"/>
      </w:tblGrid>
      <w:tr w:rsidR="006505AE" w:rsidRPr="006505AE" w:rsidTr="008370B6">
        <w:trPr>
          <w:trHeight w:val="577"/>
        </w:trPr>
        <w:tc>
          <w:tcPr>
            <w:tcW w:w="1132" w:type="pct"/>
            <w:vAlign w:val="center"/>
          </w:tcPr>
          <w:p w:rsidR="006505AE" w:rsidRPr="006505AE" w:rsidRDefault="006505AE" w:rsidP="004C294E">
            <w:pPr>
              <w:jc w:val="center"/>
              <w:rPr>
                <w:bCs/>
                <w:color w:val="000000"/>
              </w:rPr>
            </w:pPr>
            <w:r w:rsidRPr="006505AE">
              <w:rPr>
                <w:bCs/>
                <w:color w:val="000000"/>
              </w:rPr>
              <w:t>Наименование</w:t>
            </w:r>
          </w:p>
        </w:tc>
        <w:tc>
          <w:tcPr>
            <w:tcW w:w="1077" w:type="pct"/>
            <w:shd w:val="clear" w:color="auto" w:fill="auto"/>
            <w:vAlign w:val="center"/>
          </w:tcPr>
          <w:p w:rsidR="006505AE" w:rsidRPr="006505AE" w:rsidRDefault="006505AE" w:rsidP="004C294E">
            <w:pPr>
              <w:jc w:val="center"/>
              <w:rPr>
                <w:bCs/>
                <w:color w:val="000000"/>
              </w:rPr>
            </w:pPr>
            <w:r w:rsidRPr="006505AE">
              <w:rPr>
                <w:bCs/>
                <w:color w:val="000000"/>
              </w:rPr>
              <w:t>Описание</w:t>
            </w:r>
          </w:p>
        </w:tc>
        <w:tc>
          <w:tcPr>
            <w:tcW w:w="957" w:type="pct"/>
            <w:shd w:val="clear" w:color="auto" w:fill="auto"/>
            <w:noWrap/>
            <w:vAlign w:val="center"/>
          </w:tcPr>
          <w:p w:rsidR="006505AE" w:rsidRPr="006505AE" w:rsidRDefault="006505AE" w:rsidP="004C294E">
            <w:pPr>
              <w:jc w:val="center"/>
              <w:rPr>
                <w:color w:val="000000"/>
              </w:rPr>
            </w:pPr>
            <w:r w:rsidRPr="006505AE">
              <w:rPr>
                <w:color w:val="000000"/>
              </w:rPr>
              <w:t>Объем</w:t>
            </w:r>
          </w:p>
        </w:tc>
        <w:tc>
          <w:tcPr>
            <w:tcW w:w="965" w:type="pct"/>
            <w:shd w:val="clear" w:color="auto" w:fill="EAF1DD" w:themeFill="accent3" w:themeFillTint="33"/>
            <w:vAlign w:val="center"/>
          </w:tcPr>
          <w:p w:rsidR="006505AE" w:rsidRPr="006505AE" w:rsidRDefault="006505AE" w:rsidP="004C294E">
            <w:pPr>
              <w:jc w:val="center"/>
              <w:rPr>
                <w:b/>
                <w:color w:val="000000"/>
              </w:rPr>
            </w:pPr>
            <w:r w:rsidRPr="006505AE">
              <w:t xml:space="preserve">Стоимость оказания услуги, </w:t>
            </w:r>
            <w:r w:rsidRPr="006505AE">
              <w:rPr>
                <w:lang w:val="en-US"/>
              </w:rPr>
              <w:t>BYN</w:t>
            </w:r>
            <w:r w:rsidRPr="006505AE">
              <w:t xml:space="preserve"> в месяц</w:t>
            </w:r>
          </w:p>
        </w:tc>
        <w:tc>
          <w:tcPr>
            <w:tcW w:w="869" w:type="pct"/>
            <w:shd w:val="clear" w:color="auto" w:fill="EAF1DD" w:themeFill="accent3" w:themeFillTint="33"/>
            <w:noWrap/>
            <w:vAlign w:val="center"/>
          </w:tcPr>
          <w:p w:rsidR="006505AE" w:rsidRPr="006505AE" w:rsidRDefault="006505AE" w:rsidP="004C294E">
            <w:pPr>
              <w:jc w:val="center"/>
              <w:rPr>
                <w:b/>
                <w:color w:val="000000"/>
              </w:rPr>
            </w:pPr>
            <w:r w:rsidRPr="006505AE">
              <w:t xml:space="preserve">Стоимость оказания услуги, </w:t>
            </w:r>
            <w:r w:rsidRPr="006505AE">
              <w:rPr>
                <w:lang w:val="en-US"/>
              </w:rPr>
              <w:t>BYN</w:t>
            </w:r>
            <w:r w:rsidRPr="006505AE">
              <w:t xml:space="preserve"> в год</w:t>
            </w:r>
          </w:p>
        </w:tc>
      </w:tr>
      <w:tr w:rsidR="004C294E" w:rsidRPr="006505AE" w:rsidTr="008370B6">
        <w:trPr>
          <w:trHeight w:val="268"/>
        </w:trPr>
        <w:tc>
          <w:tcPr>
            <w:tcW w:w="1132" w:type="pct"/>
            <w:vAlign w:val="center"/>
          </w:tcPr>
          <w:p w:rsidR="004C294E" w:rsidRPr="006505AE" w:rsidRDefault="004C294E" w:rsidP="004C294E">
            <w:pPr>
              <w:jc w:val="center"/>
              <w:rPr>
                <w:bCs/>
                <w:color w:val="000000"/>
              </w:rPr>
            </w:pPr>
            <w:r>
              <w:rPr>
                <w:bCs/>
                <w:color w:val="000000"/>
              </w:rPr>
              <w:t>1</w:t>
            </w:r>
          </w:p>
        </w:tc>
        <w:tc>
          <w:tcPr>
            <w:tcW w:w="1077" w:type="pct"/>
            <w:shd w:val="clear" w:color="auto" w:fill="auto"/>
            <w:vAlign w:val="center"/>
          </w:tcPr>
          <w:p w:rsidR="004C294E" w:rsidRPr="006505AE" w:rsidRDefault="004C294E" w:rsidP="004C294E">
            <w:pPr>
              <w:jc w:val="center"/>
              <w:rPr>
                <w:bCs/>
                <w:color w:val="000000"/>
              </w:rPr>
            </w:pPr>
            <w:r>
              <w:rPr>
                <w:bCs/>
                <w:color w:val="000000"/>
              </w:rPr>
              <w:t>2</w:t>
            </w:r>
          </w:p>
        </w:tc>
        <w:tc>
          <w:tcPr>
            <w:tcW w:w="957" w:type="pct"/>
            <w:shd w:val="clear" w:color="auto" w:fill="auto"/>
            <w:noWrap/>
            <w:vAlign w:val="center"/>
          </w:tcPr>
          <w:p w:rsidR="004C294E" w:rsidRPr="006505AE" w:rsidRDefault="004C294E" w:rsidP="004C294E">
            <w:pPr>
              <w:jc w:val="center"/>
              <w:rPr>
                <w:color w:val="000000"/>
              </w:rPr>
            </w:pPr>
            <w:r>
              <w:rPr>
                <w:color w:val="000000"/>
              </w:rPr>
              <w:t>3</w:t>
            </w:r>
          </w:p>
        </w:tc>
        <w:tc>
          <w:tcPr>
            <w:tcW w:w="965" w:type="pct"/>
            <w:shd w:val="clear" w:color="auto" w:fill="EAF1DD" w:themeFill="accent3" w:themeFillTint="33"/>
            <w:vAlign w:val="center"/>
          </w:tcPr>
          <w:p w:rsidR="004C294E" w:rsidRPr="006505AE" w:rsidRDefault="004C294E" w:rsidP="004C294E">
            <w:pPr>
              <w:jc w:val="center"/>
            </w:pPr>
            <w:r>
              <w:t>4</w:t>
            </w:r>
          </w:p>
        </w:tc>
        <w:tc>
          <w:tcPr>
            <w:tcW w:w="869" w:type="pct"/>
            <w:shd w:val="clear" w:color="auto" w:fill="EAF1DD" w:themeFill="accent3" w:themeFillTint="33"/>
            <w:noWrap/>
            <w:vAlign w:val="center"/>
          </w:tcPr>
          <w:p w:rsidR="004C294E" w:rsidRPr="006505AE" w:rsidRDefault="004C294E" w:rsidP="004C294E">
            <w:pPr>
              <w:jc w:val="center"/>
            </w:pPr>
            <w:r>
              <w:t>5</w:t>
            </w:r>
          </w:p>
        </w:tc>
      </w:tr>
      <w:tr w:rsidR="006505AE" w:rsidRPr="006505AE" w:rsidTr="008370B6">
        <w:trPr>
          <w:trHeight w:val="513"/>
        </w:trPr>
        <w:tc>
          <w:tcPr>
            <w:tcW w:w="1132" w:type="pct"/>
            <w:vAlign w:val="center"/>
          </w:tcPr>
          <w:p w:rsidR="006505AE" w:rsidRPr="006505AE" w:rsidRDefault="006505AE" w:rsidP="006505AE">
            <w:pPr>
              <w:rPr>
                <w:bCs/>
              </w:rPr>
            </w:pPr>
            <w:r w:rsidRPr="006505AE">
              <w:rPr>
                <w:bCs/>
                <w:color w:val="000000"/>
              </w:rPr>
              <w:t>Реагирование на отзывы/обращения клиентов в интернете на площадках в соответствии с п.1</w:t>
            </w:r>
          </w:p>
        </w:tc>
        <w:tc>
          <w:tcPr>
            <w:tcW w:w="1077" w:type="pct"/>
            <w:shd w:val="clear" w:color="auto" w:fill="auto"/>
            <w:vAlign w:val="center"/>
          </w:tcPr>
          <w:p w:rsidR="006505AE" w:rsidRPr="006505AE" w:rsidRDefault="006505AE" w:rsidP="006505AE">
            <w:pPr>
              <w:rPr>
                <w:color w:val="000000"/>
              </w:rPr>
            </w:pPr>
            <w:r w:rsidRPr="006505AE">
              <w:t>Ежедневный мониторинг популярных порталов согласно п.1. Передача выявленных отзывов в Банк. Размещение от официального аккаунта ответа, полученного на отзыв/обращение от Банка.</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Align w:val="center"/>
          </w:tcPr>
          <w:p w:rsidR="006505AE" w:rsidRPr="006505AE" w:rsidRDefault="006505AE" w:rsidP="006505AE">
            <w:pPr>
              <w:rPr>
                <w:bCs/>
              </w:rPr>
            </w:pPr>
            <w:r w:rsidRPr="006505AE">
              <w:rPr>
                <w:bCs/>
              </w:rPr>
              <w:t>Мониторинг социальных медиа и СМИ для анализа упоминаний бренда в интернете</w:t>
            </w:r>
          </w:p>
        </w:tc>
        <w:tc>
          <w:tcPr>
            <w:tcW w:w="1077" w:type="pct"/>
            <w:shd w:val="clear" w:color="auto" w:fill="auto"/>
            <w:vAlign w:val="center"/>
          </w:tcPr>
          <w:p w:rsidR="006505AE" w:rsidRPr="006505AE" w:rsidRDefault="006505AE" w:rsidP="006505AE">
            <w:pPr>
              <w:rPr>
                <w:color w:val="000000"/>
              </w:rPr>
            </w:pPr>
            <w:r w:rsidRPr="006505AE">
              <w:rPr>
                <w:color w:val="000000"/>
              </w:rPr>
              <w:t xml:space="preserve">Использование системы сканирования интернет-пространства для мониторинга социальных медиа и СМИ (в течение месяца) </w:t>
            </w:r>
            <w:r w:rsidRPr="006505AE">
              <w:rPr>
                <w:color w:val="000000"/>
              </w:rPr>
              <w:lastRenderedPageBreak/>
              <w:t>согласно п.2</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lastRenderedPageBreak/>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p w:rsidR="006505AE" w:rsidRPr="006505AE" w:rsidRDefault="006505AE" w:rsidP="006505AE">
            <w:pPr>
              <w:jc w:val="center"/>
              <w:rPr>
                <w:color w:val="000000"/>
              </w:rPr>
            </w:pPr>
          </w:p>
        </w:tc>
      </w:tr>
      <w:tr w:rsidR="006505AE" w:rsidRPr="006505AE" w:rsidTr="008370B6">
        <w:trPr>
          <w:trHeight w:val="513"/>
        </w:trPr>
        <w:tc>
          <w:tcPr>
            <w:tcW w:w="1132" w:type="pct"/>
            <w:vAlign w:val="center"/>
          </w:tcPr>
          <w:p w:rsidR="006505AE" w:rsidRPr="006505AE" w:rsidRDefault="006505AE" w:rsidP="006505AE">
            <w:pPr>
              <w:rPr>
                <w:bCs/>
              </w:rPr>
            </w:pPr>
            <w:r w:rsidRPr="006505AE">
              <w:rPr>
                <w:bCs/>
                <w:color w:val="000000"/>
              </w:rPr>
              <w:t>Формирование позитивного имиджа Банка агентами влияния через размещение отзывов в сети интернет (вспомогательный инструмент для создания позитивного фона о Банке)</w:t>
            </w:r>
          </w:p>
        </w:tc>
        <w:tc>
          <w:tcPr>
            <w:tcW w:w="1077" w:type="pct"/>
            <w:shd w:val="clear" w:color="auto" w:fill="auto"/>
            <w:vAlign w:val="center"/>
          </w:tcPr>
          <w:p w:rsidR="006505AE" w:rsidRPr="006505AE" w:rsidRDefault="006505AE" w:rsidP="006505AE">
            <w:pPr>
              <w:rPr>
                <w:color w:val="000000"/>
              </w:rPr>
            </w:pPr>
            <w:r w:rsidRPr="006505AE">
              <w:rPr>
                <w:color w:val="000000"/>
              </w:rPr>
              <w:t>Копирайтинг сообщений. Согласование сообщений.</w:t>
            </w:r>
            <w:r w:rsidRPr="006505AE">
              <w:rPr>
                <w:color w:val="000000"/>
              </w:rPr>
              <w:br/>
              <w:t>Публикация сообщений.</w:t>
            </w:r>
            <w:r w:rsidRPr="006505AE">
              <w:rPr>
                <w:color w:val="000000"/>
              </w:rPr>
              <w:br/>
              <w:t>Отслеживание новых упоминаний и отзывов на площадках, с целью создания позитивного фона о Банке</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 xml:space="preserve">Не менее 150 </w:t>
            </w:r>
            <w:r w:rsidRPr="006505AE">
              <w:rPr>
                <w:color w:val="000000"/>
              </w:rPr>
              <w:br/>
              <w:t xml:space="preserve">сообщений </w:t>
            </w:r>
            <w:r w:rsidRPr="006505AE">
              <w:rPr>
                <w:color w:val="000000"/>
              </w:rPr>
              <w:br/>
              <w:t>ежемесячно,</w:t>
            </w:r>
            <w:r w:rsidRPr="006505AE">
              <w:rPr>
                <w:color w:val="000000"/>
              </w:rPr>
              <w:br/>
              <w:t xml:space="preserve"> не менее 50 агентов</w:t>
            </w:r>
            <w:r w:rsidRPr="006505AE">
              <w:rPr>
                <w:color w:val="000000"/>
              </w:rPr>
              <w:br/>
              <w:t xml:space="preserve"> влияния</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Align w:val="center"/>
          </w:tcPr>
          <w:p w:rsidR="006505AE" w:rsidRPr="006505AE" w:rsidRDefault="006505AE" w:rsidP="006505AE">
            <w:pPr>
              <w:rPr>
                <w:bCs/>
                <w:color w:val="000000"/>
              </w:rPr>
            </w:pPr>
            <w:r w:rsidRPr="006505AE">
              <w:rPr>
                <w:bCs/>
                <w:color w:val="000000"/>
              </w:rPr>
              <w:t>Работа с рейтингом офисов Банка в Google и Яндекс картах</w:t>
            </w:r>
          </w:p>
        </w:tc>
        <w:tc>
          <w:tcPr>
            <w:tcW w:w="1077" w:type="pct"/>
            <w:shd w:val="clear" w:color="auto" w:fill="auto"/>
            <w:vAlign w:val="center"/>
          </w:tcPr>
          <w:p w:rsidR="006505AE" w:rsidRPr="006505AE" w:rsidRDefault="006505AE" w:rsidP="006505AE">
            <w:pPr>
              <w:rPr>
                <w:color w:val="000000"/>
              </w:rPr>
            </w:pPr>
            <w:r w:rsidRPr="006505AE">
              <w:rPr>
                <w:color w:val="000000"/>
              </w:rPr>
              <w:t>Анализ текущего состояния, оптимизация карточек, увеличение рейтинга (согласно п.4)</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Align w:val="center"/>
          </w:tcPr>
          <w:p w:rsidR="006505AE" w:rsidRPr="006505AE" w:rsidRDefault="006505AE" w:rsidP="006505AE">
            <w:pPr>
              <w:rPr>
                <w:bCs/>
                <w:color w:val="000000"/>
              </w:rPr>
            </w:pPr>
            <w:r w:rsidRPr="006505AE">
              <w:rPr>
                <w:bCs/>
                <w:color w:val="000000"/>
              </w:rPr>
              <w:t>Работа с рейтингом мобильного приложения СберБанк Онлайн Беларусь в App Store и Play Market</w:t>
            </w:r>
          </w:p>
        </w:tc>
        <w:tc>
          <w:tcPr>
            <w:tcW w:w="1077" w:type="pct"/>
            <w:shd w:val="clear" w:color="auto" w:fill="auto"/>
            <w:vAlign w:val="center"/>
          </w:tcPr>
          <w:p w:rsidR="006505AE" w:rsidRPr="006505AE" w:rsidRDefault="006505AE" w:rsidP="006505AE">
            <w:pPr>
              <w:rPr>
                <w:color w:val="000000"/>
              </w:rPr>
            </w:pPr>
            <w:r w:rsidRPr="006505AE">
              <w:rPr>
                <w:color w:val="000000"/>
              </w:rPr>
              <w:t>Анализ текущего состояния, увеличение рейтинга (согласно п.5)</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Merge w:val="restart"/>
            <w:vAlign w:val="center"/>
          </w:tcPr>
          <w:p w:rsidR="006505AE" w:rsidRPr="006505AE" w:rsidRDefault="006505AE" w:rsidP="006505AE">
            <w:pPr>
              <w:rPr>
                <w:bCs/>
                <w:color w:val="000000"/>
              </w:rPr>
            </w:pPr>
            <w:r w:rsidRPr="006505AE">
              <w:rPr>
                <w:bCs/>
                <w:color w:val="000000"/>
              </w:rPr>
              <w:t>Сопровождение проекта</w:t>
            </w:r>
          </w:p>
        </w:tc>
        <w:tc>
          <w:tcPr>
            <w:tcW w:w="1077" w:type="pct"/>
            <w:shd w:val="clear" w:color="auto" w:fill="auto"/>
            <w:vAlign w:val="center"/>
          </w:tcPr>
          <w:p w:rsidR="006505AE" w:rsidRPr="006505AE" w:rsidRDefault="006505AE" w:rsidP="006505AE">
            <w:pPr>
              <w:rPr>
                <w:color w:val="000000"/>
              </w:rPr>
            </w:pPr>
            <w:r w:rsidRPr="006505AE">
              <w:rPr>
                <w:color w:val="000000"/>
              </w:rPr>
              <w:t>Подготовка еженедельного отчета по управлению репутацией с выводами о качественных и количественных упоминаниях бренда и топ-5 конкурентов</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Merge/>
            <w:vAlign w:val="center"/>
          </w:tcPr>
          <w:p w:rsidR="006505AE" w:rsidRPr="006505AE" w:rsidRDefault="006505AE" w:rsidP="006505AE">
            <w:pPr>
              <w:rPr>
                <w:bCs/>
                <w:color w:val="000000"/>
              </w:rPr>
            </w:pPr>
          </w:p>
        </w:tc>
        <w:tc>
          <w:tcPr>
            <w:tcW w:w="1077" w:type="pct"/>
            <w:shd w:val="clear" w:color="auto" w:fill="auto"/>
            <w:vAlign w:val="center"/>
          </w:tcPr>
          <w:p w:rsidR="006505AE" w:rsidRPr="006505AE" w:rsidRDefault="006505AE" w:rsidP="006505AE">
            <w:pPr>
              <w:rPr>
                <w:color w:val="000000"/>
              </w:rPr>
            </w:pPr>
            <w:r w:rsidRPr="006505AE">
              <w:rPr>
                <w:color w:val="000000"/>
              </w:rPr>
              <w:t xml:space="preserve">Подготовка ежемесячного отчета с выводами по результатам работ и динамике изменений репутации ОАО «Сбер Банк» и топ-5 </w:t>
            </w:r>
            <w:r w:rsidRPr="006505AE">
              <w:rPr>
                <w:color w:val="000000"/>
              </w:rPr>
              <w:lastRenderedPageBreak/>
              <w:t>конкурентов в интернете, согласно п.6</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lastRenderedPageBreak/>
              <w:t>ежемесячно</w:t>
            </w:r>
          </w:p>
        </w:tc>
        <w:tc>
          <w:tcPr>
            <w:tcW w:w="965" w:type="pct"/>
            <w:shd w:val="clear" w:color="auto" w:fill="EAF1DD" w:themeFill="accent3" w:themeFillTint="33"/>
          </w:tcPr>
          <w:p w:rsidR="006505AE" w:rsidRPr="006505AE" w:rsidRDefault="006505AE" w:rsidP="006505AE">
            <w:pPr>
              <w:jc w:val="center"/>
              <w:rPr>
                <w:color w:val="000000"/>
              </w:rPr>
            </w:pP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513"/>
        </w:trPr>
        <w:tc>
          <w:tcPr>
            <w:tcW w:w="1132" w:type="pct"/>
            <w:vMerge/>
            <w:vAlign w:val="center"/>
          </w:tcPr>
          <w:p w:rsidR="006505AE" w:rsidRPr="006505AE" w:rsidRDefault="006505AE" w:rsidP="006505AE">
            <w:pPr>
              <w:rPr>
                <w:bCs/>
                <w:color w:val="000000"/>
              </w:rPr>
            </w:pPr>
          </w:p>
        </w:tc>
        <w:tc>
          <w:tcPr>
            <w:tcW w:w="1077" w:type="pct"/>
            <w:shd w:val="clear" w:color="auto" w:fill="auto"/>
            <w:vAlign w:val="center"/>
          </w:tcPr>
          <w:p w:rsidR="006505AE" w:rsidRPr="006505AE" w:rsidRDefault="006505AE" w:rsidP="006505AE">
            <w:pPr>
              <w:rPr>
                <w:color w:val="000000"/>
              </w:rPr>
            </w:pPr>
            <w:r w:rsidRPr="006505AE">
              <w:rPr>
                <w:color w:val="000000"/>
              </w:rPr>
              <w:t>Подготовка ежеквартального отчета с выводами по результатам работ и динамике изменений репутации ОАО «Сбер Банк» и топ-5 конкурентов в интернете, согласно п.6</w:t>
            </w:r>
          </w:p>
        </w:tc>
        <w:tc>
          <w:tcPr>
            <w:tcW w:w="957" w:type="pct"/>
            <w:shd w:val="clear" w:color="auto" w:fill="auto"/>
            <w:noWrap/>
            <w:vAlign w:val="center"/>
          </w:tcPr>
          <w:p w:rsidR="006505AE" w:rsidRPr="006505AE" w:rsidRDefault="006505AE" w:rsidP="006505AE">
            <w:pPr>
              <w:jc w:val="center"/>
              <w:rPr>
                <w:color w:val="000000"/>
              </w:rPr>
            </w:pPr>
            <w:r w:rsidRPr="006505AE">
              <w:rPr>
                <w:color w:val="000000"/>
              </w:rPr>
              <w:t>ежеквартально</w:t>
            </w:r>
          </w:p>
        </w:tc>
        <w:tc>
          <w:tcPr>
            <w:tcW w:w="965" w:type="pct"/>
            <w:shd w:val="clear" w:color="auto" w:fill="EAF1DD" w:themeFill="accent3" w:themeFillTint="33"/>
            <w:vAlign w:val="center"/>
          </w:tcPr>
          <w:p w:rsidR="006505AE" w:rsidRPr="006505AE" w:rsidRDefault="006505AE" w:rsidP="006505AE">
            <w:pPr>
              <w:jc w:val="center"/>
              <w:rPr>
                <w:color w:val="000000"/>
              </w:rPr>
            </w:pPr>
            <w:r w:rsidRPr="006505AE">
              <w:rPr>
                <w:color w:val="000000"/>
              </w:rPr>
              <w:t>---</w:t>
            </w:r>
          </w:p>
        </w:tc>
        <w:tc>
          <w:tcPr>
            <w:tcW w:w="869" w:type="pct"/>
            <w:shd w:val="clear" w:color="auto" w:fill="EAF1DD" w:themeFill="accent3" w:themeFillTint="33"/>
            <w:noWrap/>
            <w:vAlign w:val="center"/>
          </w:tcPr>
          <w:p w:rsidR="006505AE" w:rsidRPr="006505AE" w:rsidRDefault="006505AE" w:rsidP="006505AE">
            <w:pPr>
              <w:jc w:val="center"/>
              <w:rPr>
                <w:color w:val="000000"/>
              </w:rPr>
            </w:pPr>
          </w:p>
        </w:tc>
      </w:tr>
      <w:tr w:rsidR="006505AE" w:rsidRPr="006505AE" w:rsidTr="008370B6">
        <w:trPr>
          <w:trHeight w:val="365"/>
        </w:trPr>
        <w:tc>
          <w:tcPr>
            <w:tcW w:w="3166" w:type="pct"/>
            <w:gridSpan w:val="3"/>
            <w:shd w:val="clear" w:color="auto" w:fill="EAF1DD" w:themeFill="accent3" w:themeFillTint="33"/>
            <w:vAlign w:val="center"/>
          </w:tcPr>
          <w:p w:rsidR="006505AE" w:rsidRPr="006505AE" w:rsidRDefault="006505AE" w:rsidP="006505AE">
            <w:pPr>
              <w:jc w:val="right"/>
              <w:rPr>
                <w:b/>
                <w:bCs/>
                <w:color w:val="000000"/>
                <w:lang w:val="en-US"/>
              </w:rPr>
            </w:pPr>
            <w:r w:rsidRPr="006505AE">
              <w:rPr>
                <w:b/>
                <w:bCs/>
                <w:color w:val="000000"/>
              </w:rPr>
              <w:t xml:space="preserve">Итого </w:t>
            </w:r>
            <w:r w:rsidRPr="006505AE">
              <w:rPr>
                <w:b/>
                <w:bCs/>
                <w:color w:val="000000"/>
                <w:lang w:val="en-US"/>
              </w:rPr>
              <w:t>BYN</w:t>
            </w:r>
            <w:r w:rsidRPr="006505AE">
              <w:rPr>
                <w:b/>
                <w:bCs/>
                <w:color w:val="000000"/>
              </w:rPr>
              <w:t>, с НДС:</w:t>
            </w:r>
          </w:p>
        </w:tc>
        <w:tc>
          <w:tcPr>
            <w:tcW w:w="965" w:type="pct"/>
            <w:shd w:val="clear" w:color="auto" w:fill="EAF1DD" w:themeFill="accent3" w:themeFillTint="33"/>
            <w:vAlign w:val="center"/>
          </w:tcPr>
          <w:p w:rsidR="006505AE" w:rsidRPr="006505AE" w:rsidRDefault="006505AE" w:rsidP="006505AE">
            <w:pPr>
              <w:jc w:val="center"/>
              <w:rPr>
                <w:b/>
                <w:bCs/>
                <w:color w:val="000000"/>
              </w:rPr>
            </w:pPr>
          </w:p>
        </w:tc>
        <w:tc>
          <w:tcPr>
            <w:tcW w:w="869" w:type="pct"/>
            <w:shd w:val="clear" w:color="auto" w:fill="EAF1DD" w:themeFill="accent3" w:themeFillTint="33"/>
            <w:noWrap/>
            <w:vAlign w:val="center"/>
          </w:tcPr>
          <w:p w:rsidR="006505AE" w:rsidRPr="006505AE" w:rsidRDefault="006505AE" w:rsidP="006505AE">
            <w:pPr>
              <w:jc w:val="center"/>
              <w:rPr>
                <w:b/>
                <w:bCs/>
                <w:color w:val="000000"/>
              </w:rPr>
            </w:pPr>
          </w:p>
        </w:tc>
      </w:tr>
    </w:tbl>
    <w:p w:rsidR="006505AE" w:rsidRPr="006505AE" w:rsidRDefault="006505AE" w:rsidP="006505AE"/>
    <w:p w:rsidR="00690AF5" w:rsidRDefault="00690AF5" w:rsidP="003A4987">
      <w:pPr>
        <w:jc w:val="both"/>
        <w:rPr>
          <w:sz w:val="28"/>
          <w:szCs w:val="28"/>
        </w:rPr>
        <w:sectPr w:rsidR="00690AF5" w:rsidSect="00421F40">
          <w:headerReference w:type="default" r:id="rId16"/>
          <w:footerReference w:type="default" r:id="rId17"/>
          <w:pgSz w:w="11909" w:h="16834" w:code="9"/>
          <w:pgMar w:top="1134" w:right="850" w:bottom="1134" w:left="1701" w:header="680" w:footer="680" w:gutter="0"/>
          <w:cols w:space="60"/>
          <w:noEndnote/>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4C294E">
        <w:rPr>
          <w:sz w:val="28"/>
          <w:szCs w:val="28"/>
        </w:rPr>
        <w:t>№ 2</w:t>
      </w:r>
      <w:r w:rsidR="00C038DF">
        <w:rPr>
          <w:sz w:val="28"/>
          <w:szCs w:val="28"/>
        </w:rPr>
        <w:t xml:space="preserve">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004B2271">
        <w:rPr>
          <w:sz w:val="28"/>
          <w:szCs w:val="28"/>
        </w:rPr>
        <w:t>22</w:t>
      </w:r>
      <w:r w:rsidRPr="00492D78">
        <w:rPr>
          <w:sz w:val="28"/>
          <w:szCs w:val="28"/>
        </w:rPr>
        <w:t xml:space="preserve"> г.</w:t>
      </w:r>
      <w:r w:rsidRPr="00492D78">
        <w:rPr>
          <w:sz w:val="28"/>
          <w:szCs w:val="28"/>
        </w:rPr>
        <w:tab/>
      </w:r>
      <w:r w:rsidRPr="00492D78">
        <w:rPr>
          <w:sz w:val="28"/>
          <w:szCs w:val="28"/>
        </w:rPr>
        <w:tab/>
        <w:t>___________</w:t>
      </w:r>
      <w:r w:rsidR="007040B2">
        <w:rPr>
          <w:sz w:val="28"/>
          <w:szCs w:val="28"/>
        </w:rPr>
        <w:t>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4C294E" w:rsidP="00004FEF">
      <w:pPr>
        <w:ind w:firstLine="708"/>
        <w:jc w:val="right"/>
        <w:rPr>
          <w:sz w:val="28"/>
          <w:szCs w:val="28"/>
        </w:rPr>
      </w:pPr>
      <w:r>
        <w:rPr>
          <w:sz w:val="28"/>
          <w:szCs w:val="28"/>
        </w:rPr>
        <w:lastRenderedPageBreak/>
        <w:t>Приложение № 3</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w:t>
      </w:r>
      <w:r w:rsidRPr="00004FEF">
        <w:rPr>
          <w:iCs/>
          <w:sz w:val="28"/>
          <w:szCs w:val="28"/>
        </w:rPr>
        <w:lastRenderedPageBreak/>
        <w:t>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F0" w:rsidRDefault="00EB08F0" w:rsidP="004A5CF6">
      <w:r>
        <w:separator/>
      </w:r>
    </w:p>
  </w:endnote>
  <w:endnote w:type="continuationSeparator" w:id="0">
    <w:p w:rsidR="00EB08F0" w:rsidRDefault="00EB08F0"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2387"/>
      <w:docPartObj>
        <w:docPartGallery w:val="Page Numbers (Bottom of Page)"/>
        <w:docPartUnique/>
      </w:docPartObj>
    </w:sdtPr>
    <w:sdtEndPr/>
    <w:sdtContent>
      <w:p w:rsidR="00485979" w:rsidRDefault="00485979">
        <w:pPr>
          <w:pStyle w:val="a7"/>
          <w:jc w:val="right"/>
        </w:pPr>
        <w:r>
          <w:fldChar w:fldCharType="begin"/>
        </w:r>
        <w:r>
          <w:instrText>PAGE   \* MERGEFORMAT</w:instrText>
        </w:r>
        <w:r>
          <w:fldChar w:fldCharType="separate"/>
        </w:r>
        <w:r w:rsidR="0013116C">
          <w:rPr>
            <w:noProof/>
          </w:rPr>
          <w:t>5</w:t>
        </w:r>
        <w:r>
          <w:fldChar w:fldCharType="end"/>
        </w:r>
      </w:p>
    </w:sdtContent>
  </w:sdt>
  <w:p w:rsidR="00485979" w:rsidRDefault="0048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F0" w:rsidRDefault="00EB08F0" w:rsidP="004A5CF6">
      <w:r>
        <w:separator/>
      </w:r>
    </w:p>
  </w:footnote>
  <w:footnote w:type="continuationSeparator" w:id="0">
    <w:p w:rsidR="00EB08F0" w:rsidRDefault="00EB08F0"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6A60D28"/>
    <w:multiLevelType w:val="hybridMultilevel"/>
    <w:tmpl w:val="CBE82F20"/>
    <w:lvl w:ilvl="0" w:tplc="7DD0264E">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3"/>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0637C"/>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116C"/>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61EC3"/>
    <w:rsid w:val="00271235"/>
    <w:rsid w:val="00296BA2"/>
    <w:rsid w:val="002A4C2D"/>
    <w:rsid w:val="002B1CFB"/>
    <w:rsid w:val="002B7895"/>
    <w:rsid w:val="002B7F61"/>
    <w:rsid w:val="002D2D06"/>
    <w:rsid w:val="002F0605"/>
    <w:rsid w:val="003049E8"/>
    <w:rsid w:val="00305708"/>
    <w:rsid w:val="003133B5"/>
    <w:rsid w:val="00315228"/>
    <w:rsid w:val="00336A12"/>
    <w:rsid w:val="00350D1A"/>
    <w:rsid w:val="003541EE"/>
    <w:rsid w:val="00354844"/>
    <w:rsid w:val="00356B18"/>
    <w:rsid w:val="00363E41"/>
    <w:rsid w:val="00364820"/>
    <w:rsid w:val="003718D0"/>
    <w:rsid w:val="00374B1E"/>
    <w:rsid w:val="00382167"/>
    <w:rsid w:val="003871D9"/>
    <w:rsid w:val="00393088"/>
    <w:rsid w:val="003A4987"/>
    <w:rsid w:val="003B075C"/>
    <w:rsid w:val="003B4F64"/>
    <w:rsid w:val="003D1F94"/>
    <w:rsid w:val="003E2247"/>
    <w:rsid w:val="003E3754"/>
    <w:rsid w:val="00400F10"/>
    <w:rsid w:val="004029DC"/>
    <w:rsid w:val="004118CA"/>
    <w:rsid w:val="00421F40"/>
    <w:rsid w:val="00426359"/>
    <w:rsid w:val="00431632"/>
    <w:rsid w:val="00435AF1"/>
    <w:rsid w:val="0043744A"/>
    <w:rsid w:val="004411F4"/>
    <w:rsid w:val="00445B72"/>
    <w:rsid w:val="00447A57"/>
    <w:rsid w:val="00463286"/>
    <w:rsid w:val="00467A99"/>
    <w:rsid w:val="00485979"/>
    <w:rsid w:val="00490441"/>
    <w:rsid w:val="004A1CBA"/>
    <w:rsid w:val="004A1CE9"/>
    <w:rsid w:val="004A5CF6"/>
    <w:rsid w:val="004B2271"/>
    <w:rsid w:val="004C0D35"/>
    <w:rsid w:val="004C294E"/>
    <w:rsid w:val="004D202E"/>
    <w:rsid w:val="004D5ACC"/>
    <w:rsid w:val="004E24DC"/>
    <w:rsid w:val="004F07FF"/>
    <w:rsid w:val="00510772"/>
    <w:rsid w:val="00520013"/>
    <w:rsid w:val="0053219B"/>
    <w:rsid w:val="00534229"/>
    <w:rsid w:val="00560696"/>
    <w:rsid w:val="00566D42"/>
    <w:rsid w:val="005A5534"/>
    <w:rsid w:val="005B121C"/>
    <w:rsid w:val="005B6106"/>
    <w:rsid w:val="005B6B54"/>
    <w:rsid w:val="005B7FE2"/>
    <w:rsid w:val="005C7AFD"/>
    <w:rsid w:val="005D46CC"/>
    <w:rsid w:val="005D53D2"/>
    <w:rsid w:val="006032B9"/>
    <w:rsid w:val="00646ED8"/>
    <w:rsid w:val="00647080"/>
    <w:rsid w:val="006505AE"/>
    <w:rsid w:val="00662DED"/>
    <w:rsid w:val="0067192F"/>
    <w:rsid w:val="006773AC"/>
    <w:rsid w:val="00681A41"/>
    <w:rsid w:val="006824EE"/>
    <w:rsid w:val="006866C2"/>
    <w:rsid w:val="00690AF5"/>
    <w:rsid w:val="00693D5D"/>
    <w:rsid w:val="006A5B69"/>
    <w:rsid w:val="006C0D8B"/>
    <w:rsid w:val="006F11E1"/>
    <w:rsid w:val="007040B2"/>
    <w:rsid w:val="007045CD"/>
    <w:rsid w:val="00707D1B"/>
    <w:rsid w:val="00733E12"/>
    <w:rsid w:val="007369AE"/>
    <w:rsid w:val="00742312"/>
    <w:rsid w:val="00761C8A"/>
    <w:rsid w:val="0076578C"/>
    <w:rsid w:val="007729D6"/>
    <w:rsid w:val="00780C1B"/>
    <w:rsid w:val="0079157A"/>
    <w:rsid w:val="007B5D3A"/>
    <w:rsid w:val="007C3FC5"/>
    <w:rsid w:val="007C7A35"/>
    <w:rsid w:val="007D5349"/>
    <w:rsid w:val="007E3111"/>
    <w:rsid w:val="007F4736"/>
    <w:rsid w:val="007F7C99"/>
    <w:rsid w:val="00804AF5"/>
    <w:rsid w:val="00812F82"/>
    <w:rsid w:val="008370B6"/>
    <w:rsid w:val="00871FB3"/>
    <w:rsid w:val="0087551A"/>
    <w:rsid w:val="008816A6"/>
    <w:rsid w:val="0088322C"/>
    <w:rsid w:val="00890FEA"/>
    <w:rsid w:val="0089190C"/>
    <w:rsid w:val="0089488E"/>
    <w:rsid w:val="008A0F22"/>
    <w:rsid w:val="008B2E19"/>
    <w:rsid w:val="008B36CB"/>
    <w:rsid w:val="008B4383"/>
    <w:rsid w:val="008B71E7"/>
    <w:rsid w:val="008C3150"/>
    <w:rsid w:val="008C6B35"/>
    <w:rsid w:val="008D288E"/>
    <w:rsid w:val="008E1340"/>
    <w:rsid w:val="008E469B"/>
    <w:rsid w:val="008F5319"/>
    <w:rsid w:val="008F7E12"/>
    <w:rsid w:val="0091283F"/>
    <w:rsid w:val="009135EE"/>
    <w:rsid w:val="00923037"/>
    <w:rsid w:val="009269C9"/>
    <w:rsid w:val="00926E45"/>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81D16"/>
    <w:rsid w:val="00A92FD2"/>
    <w:rsid w:val="00AA7402"/>
    <w:rsid w:val="00AC09F6"/>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195A"/>
    <w:rsid w:val="00B85F9A"/>
    <w:rsid w:val="00B87377"/>
    <w:rsid w:val="00B87B54"/>
    <w:rsid w:val="00B91DFE"/>
    <w:rsid w:val="00B973A0"/>
    <w:rsid w:val="00BA5274"/>
    <w:rsid w:val="00BA5D81"/>
    <w:rsid w:val="00BB131F"/>
    <w:rsid w:val="00BB6B74"/>
    <w:rsid w:val="00BC57B2"/>
    <w:rsid w:val="00BD50E6"/>
    <w:rsid w:val="00BE0FCC"/>
    <w:rsid w:val="00C02EC9"/>
    <w:rsid w:val="00C038DF"/>
    <w:rsid w:val="00C15EAC"/>
    <w:rsid w:val="00C249CD"/>
    <w:rsid w:val="00C667A8"/>
    <w:rsid w:val="00C94B94"/>
    <w:rsid w:val="00CC10DC"/>
    <w:rsid w:val="00CC3DF8"/>
    <w:rsid w:val="00CC4AD6"/>
    <w:rsid w:val="00CD1B35"/>
    <w:rsid w:val="00CE126C"/>
    <w:rsid w:val="00CF455D"/>
    <w:rsid w:val="00CF6967"/>
    <w:rsid w:val="00D00378"/>
    <w:rsid w:val="00D004AD"/>
    <w:rsid w:val="00D00745"/>
    <w:rsid w:val="00D00EBD"/>
    <w:rsid w:val="00D26A51"/>
    <w:rsid w:val="00D31E05"/>
    <w:rsid w:val="00D40E90"/>
    <w:rsid w:val="00D46422"/>
    <w:rsid w:val="00D561D8"/>
    <w:rsid w:val="00D61D33"/>
    <w:rsid w:val="00D93E23"/>
    <w:rsid w:val="00DA19C8"/>
    <w:rsid w:val="00DA44D1"/>
    <w:rsid w:val="00DC41C2"/>
    <w:rsid w:val="00DC42B8"/>
    <w:rsid w:val="00DD5D06"/>
    <w:rsid w:val="00DE48E8"/>
    <w:rsid w:val="00E0682E"/>
    <w:rsid w:val="00E115C5"/>
    <w:rsid w:val="00E139D3"/>
    <w:rsid w:val="00E13F98"/>
    <w:rsid w:val="00E214B7"/>
    <w:rsid w:val="00E25FEC"/>
    <w:rsid w:val="00E31031"/>
    <w:rsid w:val="00E36759"/>
    <w:rsid w:val="00E37E59"/>
    <w:rsid w:val="00E5297F"/>
    <w:rsid w:val="00E74DFF"/>
    <w:rsid w:val="00E77526"/>
    <w:rsid w:val="00E8274E"/>
    <w:rsid w:val="00E96995"/>
    <w:rsid w:val="00E97C3C"/>
    <w:rsid w:val="00EA35FD"/>
    <w:rsid w:val="00EA5A35"/>
    <w:rsid w:val="00EB08F0"/>
    <w:rsid w:val="00EB5DD7"/>
    <w:rsid w:val="00EB5DF5"/>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73C42"/>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6A34"/>
  <w15:docId w15:val="{765EC8CC-F39C-4101-949C-3745DE0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13" Type="http://schemas.openxmlformats.org/officeDocument/2006/relationships/hyperlink" Target="http://www.tam.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zyvy.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r.by" TargetMode="External"/><Relationship Id="rId5" Type="http://schemas.openxmlformats.org/officeDocument/2006/relationships/webSettings" Target="webSettings.xml"/><Relationship Id="rId15" Type="http://schemas.openxmlformats.org/officeDocument/2006/relationships/hyperlink" Target="http://www.otzyvik.by" TargetMode="External"/><Relationship Id="rId10" Type="http://schemas.openxmlformats.org/officeDocument/2006/relationships/hyperlink" Target="http://www.myfin.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bank.by" TargetMode="External"/><Relationship Id="rId14" Type="http://schemas.openxmlformats.org/officeDocument/2006/relationships/hyperlink" Target="http://www.benefi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B93B-0BD1-4CA1-A613-B5A4ED27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Лысковец Наталья</cp:lastModifiedBy>
  <cp:revision>45</cp:revision>
  <cp:lastPrinted>2019-08-07T09:23:00Z</cp:lastPrinted>
  <dcterms:created xsi:type="dcterms:W3CDTF">2021-05-18T07:03:00Z</dcterms:created>
  <dcterms:modified xsi:type="dcterms:W3CDTF">2022-02-22T07:46:00Z</dcterms:modified>
</cp:coreProperties>
</file>