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bookmarkStart w:id="0" w:name="_GoBack"/>
      <w:bookmarkEnd w:id="0"/>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D93E23" w:rsidRPr="002B113E" w:rsidRDefault="002B113E" w:rsidP="007C7C20">
      <w:pPr>
        <w:tabs>
          <w:tab w:val="left" w:pos="2835"/>
        </w:tabs>
        <w:jc w:val="center"/>
        <w:rPr>
          <w:sz w:val="32"/>
          <w:szCs w:val="40"/>
        </w:rPr>
      </w:pPr>
      <w:r>
        <w:rPr>
          <w:sz w:val="32"/>
          <w:szCs w:val="40"/>
        </w:rPr>
        <w:t xml:space="preserve">«Оказание </w:t>
      </w:r>
      <w:r w:rsidR="003718D0" w:rsidRPr="003718D0">
        <w:rPr>
          <w:sz w:val="32"/>
          <w:szCs w:val="40"/>
        </w:rPr>
        <w:t xml:space="preserve">услуг </w:t>
      </w:r>
      <w:r w:rsidRPr="002B113E">
        <w:rPr>
          <w:sz w:val="32"/>
          <w:szCs w:val="40"/>
        </w:rPr>
        <w:t>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p w:rsidR="003718D0" w:rsidRPr="007E3111" w:rsidRDefault="003718D0" w:rsidP="00DA19C8">
      <w:pPr>
        <w:tabs>
          <w:tab w:val="left" w:pos="2835"/>
        </w:tabs>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992B90" w:rsidRPr="004A1CE9" w:rsidTr="00F73C42">
        <w:tc>
          <w:tcPr>
            <w:tcW w:w="3119"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r w:rsidR="00F73C42">
              <w:rPr>
                <w:sz w:val="28"/>
                <w:szCs w:val="28"/>
              </w:rPr>
              <w:t>.</w:t>
            </w:r>
          </w:p>
        </w:tc>
      </w:tr>
      <w:tr w:rsidR="00C249CD" w:rsidRPr="004A1CE9" w:rsidTr="00F73C42">
        <w:tc>
          <w:tcPr>
            <w:tcW w:w="3119" w:type="dxa"/>
            <w:shd w:val="clear" w:color="auto" w:fill="auto"/>
          </w:tcPr>
          <w:p w:rsidR="00C249CD" w:rsidRPr="004A1CE9" w:rsidRDefault="00F73C42" w:rsidP="00F304B8">
            <w:pPr>
              <w:jc w:val="both"/>
              <w:rPr>
                <w:sz w:val="28"/>
                <w:szCs w:val="28"/>
              </w:rPr>
            </w:pPr>
            <w:r>
              <w:rPr>
                <w:sz w:val="28"/>
                <w:szCs w:val="28"/>
              </w:rPr>
              <w:t xml:space="preserve">Наименование и место нахождения </w:t>
            </w:r>
            <w:r w:rsidR="00C249CD" w:rsidRPr="004A1CE9">
              <w:rPr>
                <w:sz w:val="28"/>
                <w:szCs w:val="28"/>
              </w:rPr>
              <w:t>Заказчика:</w:t>
            </w:r>
          </w:p>
        </w:tc>
        <w:tc>
          <w:tcPr>
            <w:tcW w:w="6804" w:type="dxa"/>
            <w:shd w:val="clear" w:color="auto" w:fill="auto"/>
          </w:tcPr>
          <w:p w:rsidR="00C249CD" w:rsidRPr="004A1CE9" w:rsidRDefault="00F73C42" w:rsidP="00F304B8">
            <w:pPr>
              <w:jc w:val="both"/>
              <w:rPr>
                <w:sz w:val="28"/>
                <w:szCs w:val="28"/>
              </w:rPr>
            </w:pPr>
            <w:r>
              <w:rPr>
                <w:sz w:val="28"/>
                <w:szCs w:val="28"/>
              </w:rPr>
              <w:t>ОАО «</w:t>
            </w:r>
            <w:r w:rsidR="00C249CD" w:rsidRPr="004A1CE9">
              <w:rPr>
                <w:sz w:val="28"/>
                <w:szCs w:val="28"/>
              </w:rPr>
              <w:t>Сбер</w:t>
            </w:r>
            <w:r>
              <w:rPr>
                <w:sz w:val="28"/>
                <w:szCs w:val="28"/>
              </w:rPr>
              <w:t xml:space="preserve"> Б</w:t>
            </w:r>
            <w:r w:rsidR="00C249CD" w:rsidRPr="004A1CE9">
              <w:rPr>
                <w:sz w:val="28"/>
                <w:szCs w:val="28"/>
              </w:rPr>
              <w:t xml:space="preserve">анк», </w:t>
            </w:r>
          </w:p>
          <w:p w:rsidR="00C249CD" w:rsidRPr="004A1CE9" w:rsidRDefault="00C249CD" w:rsidP="00F304B8">
            <w:pPr>
              <w:jc w:val="both"/>
              <w:rPr>
                <w:sz w:val="28"/>
                <w:szCs w:val="28"/>
              </w:rPr>
            </w:pPr>
            <w:r w:rsidRPr="004A1CE9">
              <w:rPr>
                <w:sz w:val="28"/>
                <w:szCs w:val="28"/>
              </w:rPr>
              <w:t>г. Минск, бульвар имени Мулявина, 6</w:t>
            </w:r>
          </w:p>
        </w:tc>
      </w:tr>
      <w:tr w:rsidR="00111EF8" w:rsidRPr="004A1CE9" w:rsidTr="00F73C42">
        <w:tc>
          <w:tcPr>
            <w:tcW w:w="3119"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r w:rsidR="003718D0">
              <w:rPr>
                <w:sz w:val="28"/>
                <w:szCs w:val="28"/>
              </w:rPr>
              <w:t>:</w:t>
            </w:r>
          </w:p>
        </w:tc>
        <w:tc>
          <w:tcPr>
            <w:tcW w:w="6804" w:type="dxa"/>
            <w:shd w:val="clear" w:color="auto" w:fill="auto"/>
          </w:tcPr>
          <w:p w:rsidR="00111EF8" w:rsidRPr="0079157A" w:rsidRDefault="0041536E" w:rsidP="00EE37E0">
            <w:pPr>
              <w:autoSpaceDE w:val="0"/>
              <w:autoSpaceDN w:val="0"/>
              <w:adjustRightInd w:val="0"/>
              <w:rPr>
                <w:sz w:val="28"/>
                <w:szCs w:val="28"/>
                <w:highlight w:val="green"/>
              </w:rPr>
            </w:pPr>
            <w:r w:rsidRPr="0041536E">
              <w:rPr>
                <w:sz w:val="28"/>
                <w:szCs w:val="28"/>
              </w:rPr>
              <w:t>70.2</w:t>
            </w:r>
          </w:p>
        </w:tc>
      </w:tr>
      <w:tr w:rsidR="00111EF8" w:rsidRPr="004A1CE9" w:rsidTr="00F73C42">
        <w:trPr>
          <w:trHeight w:val="1467"/>
        </w:trPr>
        <w:tc>
          <w:tcPr>
            <w:tcW w:w="3119"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r w:rsidR="003718D0">
              <w:rPr>
                <w:sz w:val="28"/>
                <w:szCs w:val="28"/>
              </w:rPr>
              <w:t>:</w:t>
            </w:r>
          </w:p>
        </w:tc>
        <w:tc>
          <w:tcPr>
            <w:tcW w:w="6804" w:type="dxa"/>
            <w:shd w:val="clear" w:color="auto" w:fill="auto"/>
          </w:tcPr>
          <w:p w:rsidR="0041536E" w:rsidRPr="0079157A" w:rsidRDefault="0041536E" w:rsidP="00467A99">
            <w:pPr>
              <w:autoSpaceDE w:val="0"/>
              <w:autoSpaceDN w:val="0"/>
              <w:adjustRightInd w:val="0"/>
              <w:jc w:val="both"/>
              <w:rPr>
                <w:sz w:val="28"/>
                <w:szCs w:val="28"/>
              </w:rPr>
            </w:pPr>
            <w:r w:rsidRPr="0041536E">
              <w:rPr>
                <w:sz w:val="28"/>
                <w:szCs w:val="28"/>
              </w:rPr>
              <w:t>Услуги консультационные по вопросам управления организацией</w:t>
            </w:r>
          </w:p>
        </w:tc>
      </w:tr>
      <w:tr w:rsidR="00D93E23" w:rsidRPr="004A1CE9" w:rsidTr="00F73C42">
        <w:trPr>
          <w:trHeight w:val="976"/>
        </w:trPr>
        <w:tc>
          <w:tcPr>
            <w:tcW w:w="3119" w:type="dxa"/>
            <w:shd w:val="clear" w:color="auto" w:fill="auto"/>
          </w:tcPr>
          <w:p w:rsidR="00D93E23" w:rsidRPr="00D93E23" w:rsidRDefault="00D93E23" w:rsidP="00F304B8">
            <w:pPr>
              <w:jc w:val="both"/>
              <w:rPr>
                <w:sz w:val="28"/>
                <w:szCs w:val="28"/>
              </w:rPr>
            </w:pPr>
            <w:r w:rsidRPr="004A1CE9">
              <w:rPr>
                <w:sz w:val="28"/>
                <w:szCs w:val="28"/>
              </w:rPr>
              <w:t>Предмет закупки</w:t>
            </w:r>
            <w:r w:rsidRPr="00D93E23">
              <w:rPr>
                <w:sz w:val="28"/>
                <w:szCs w:val="28"/>
              </w:rPr>
              <w:t>:</w:t>
            </w:r>
          </w:p>
          <w:p w:rsidR="00D93E23" w:rsidRPr="00D93E23" w:rsidRDefault="00D93E23" w:rsidP="006866C2">
            <w:pPr>
              <w:jc w:val="both"/>
              <w:rPr>
                <w:sz w:val="28"/>
                <w:szCs w:val="28"/>
              </w:rPr>
            </w:pPr>
          </w:p>
        </w:tc>
        <w:tc>
          <w:tcPr>
            <w:tcW w:w="6804" w:type="dxa"/>
            <w:shd w:val="clear" w:color="auto" w:fill="auto"/>
          </w:tcPr>
          <w:p w:rsidR="0041536E" w:rsidRPr="0041536E" w:rsidRDefault="0041536E" w:rsidP="0041536E">
            <w:pPr>
              <w:jc w:val="both"/>
              <w:rPr>
                <w:sz w:val="28"/>
                <w:szCs w:val="28"/>
              </w:rPr>
            </w:pPr>
            <w:r w:rsidRPr="0041536E">
              <w:rPr>
                <w:sz w:val="28"/>
                <w:szCs w:val="28"/>
              </w:rPr>
              <w:t>Оказание услуг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r>
              <w:rPr>
                <w:sz w:val="28"/>
                <w:szCs w:val="28"/>
              </w:rPr>
              <w:t>,</w:t>
            </w:r>
          </w:p>
          <w:p w:rsidR="00D93E23" w:rsidRPr="00D93E23" w:rsidRDefault="00D93E23" w:rsidP="0041536E">
            <w:pPr>
              <w:jc w:val="both"/>
              <w:rPr>
                <w:sz w:val="28"/>
                <w:szCs w:val="28"/>
              </w:rPr>
            </w:pPr>
            <w:r w:rsidRPr="00D93E23">
              <w:rPr>
                <w:sz w:val="28"/>
                <w:szCs w:val="28"/>
              </w:rPr>
              <w:t>согласно Приложению № 1</w:t>
            </w:r>
            <w:r>
              <w:rPr>
                <w:sz w:val="28"/>
                <w:szCs w:val="28"/>
              </w:rPr>
              <w:t xml:space="preserve"> к Приглашению</w:t>
            </w:r>
            <w:r w:rsidR="00F73C42">
              <w:rPr>
                <w:sz w:val="28"/>
                <w:szCs w:val="28"/>
              </w:rPr>
              <w:t>.</w:t>
            </w:r>
          </w:p>
        </w:tc>
      </w:tr>
      <w:tr w:rsidR="00DC41C2" w:rsidRPr="004A1CE9" w:rsidTr="00F73C42">
        <w:tc>
          <w:tcPr>
            <w:tcW w:w="3119"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r w:rsidR="003718D0">
              <w:rPr>
                <w:sz w:val="28"/>
                <w:szCs w:val="28"/>
              </w:rPr>
              <w:t>:</w:t>
            </w:r>
          </w:p>
        </w:tc>
        <w:tc>
          <w:tcPr>
            <w:tcW w:w="6804" w:type="dxa"/>
            <w:shd w:val="clear" w:color="auto" w:fill="auto"/>
          </w:tcPr>
          <w:p w:rsidR="00DC41C2" w:rsidRPr="00F73C42" w:rsidRDefault="00F73C42" w:rsidP="00DC41C2">
            <w:pPr>
              <w:jc w:val="both"/>
              <w:rPr>
                <w:b/>
                <w:sz w:val="28"/>
                <w:szCs w:val="28"/>
              </w:rPr>
            </w:pPr>
            <w:r w:rsidRPr="00F73C42">
              <w:rPr>
                <w:b/>
                <w:sz w:val="28"/>
                <w:szCs w:val="28"/>
              </w:rPr>
              <w:t>1</w:t>
            </w:r>
            <w:r w:rsidR="00312569">
              <w:rPr>
                <w:b/>
                <w:sz w:val="28"/>
                <w:szCs w:val="28"/>
              </w:rPr>
              <w:t>0</w:t>
            </w:r>
            <w:r w:rsidRPr="00F73C42">
              <w:rPr>
                <w:b/>
                <w:sz w:val="28"/>
                <w:szCs w:val="28"/>
              </w:rPr>
              <w:t xml:space="preserve"> </w:t>
            </w:r>
            <w:r w:rsidR="00312569">
              <w:rPr>
                <w:b/>
                <w:sz w:val="28"/>
                <w:szCs w:val="28"/>
              </w:rPr>
              <w:t>200</w:t>
            </w:r>
            <w:r w:rsidR="00DE48E8" w:rsidRPr="00F73C42">
              <w:rPr>
                <w:b/>
                <w:sz w:val="28"/>
                <w:szCs w:val="28"/>
              </w:rPr>
              <w:t>,</w:t>
            </w:r>
            <w:r w:rsidR="00A135DE" w:rsidRPr="00F73C42">
              <w:rPr>
                <w:b/>
                <w:sz w:val="28"/>
                <w:szCs w:val="28"/>
              </w:rPr>
              <w:t>00</w:t>
            </w:r>
            <w:r>
              <w:rPr>
                <w:b/>
                <w:sz w:val="28"/>
                <w:szCs w:val="28"/>
              </w:rPr>
              <w:t xml:space="preserve"> </w:t>
            </w:r>
            <w:r w:rsidR="00D93E23" w:rsidRPr="00F73C42">
              <w:rPr>
                <w:b/>
                <w:sz w:val="28"/>
                <w:szCs w:val="28"/>
                <w:lang w:val="en-US"/>
              </w:rPr>
              <w:t>USD</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r w:rsidR="00F73C42">
              <w:rPr>
                <w:i/>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r w:rsidR="00F73C42">
              <w:rPr>
                <w:sz w:val="28"/>
                <w:szCs w:val="28"/>
              </w:rPr>
              <w:t>.</w:t>
            </w:r>
          </w:p>
        </w:tc>
      </w:tr>
      <w:tr w:rsidR="009269C9" w:rsidRPr="004A1CE9" w:rsidTr="00F73C42">
        <w:tc>
          <w:tcPr>
            <w:tcW w:w="3119"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F73C42" w:rsidRPr="00F73C42" w:rsidRDefault="00F73C42" w:rsidP="00F73C42">
            <w:pPr>
              <w:jc w:val="both"/>
              <w:rPr>
                <w:sz w:val="28"/>
                <w:szCs w:val="28"/>
              </w:rPr>
            </w:pPr>
            <w:r w:rsidRPr="00F73C42">
              <w:rPr>
                <w:sz w:val="28"/>
                <w:szCs w:val="28"/>
              </w:rPr>
              <w:t>- юридическое лицо, находящееся в процессе ликвидации, за исключением процедуры экономической несостоятельности (банкротства), применяемой в целях восстановления платежеспособности (санации), реорганизации (за исключением юридического лица, к которому присоединяется другое юридическое лицо);</w:t>
            </w:r>
          </w:p>
          <w:p w:rsidR="00F73C42" w:rsidRPr="00F73C42" w:rsidRDefault="00F73C42" w:rsidP="00F73C42">
            <w:pPr>
              <w:jc w:val="both"/>
              <w:rPr>
                <w:sz w:val="28"/>
                <w:szCs w:val="28"/>
              </w:rPr>
            </w:pPr>
            <w:r w:rsidRPr="00F73C42">
              <w:rPr>
                <w:sz w:val="28"/>
                <w:szCs w:val="28"/>
              </w:rPr>
              <w:t xml:space="preserve">- юридическое лицо, в отношении которого возбуждено производство по делу об экономической </w:t>
            </w:r>
            <w:r w:rsidRPr="00F73C42">
              <w:rPr>
                <w:sz w:val="28"/>
                <w:szCs w:val="28"/>
              </w:rPr>
              <w:lastRenderedPageBreak/>
              <w:t>несостоятельности (банкротстве). Данное требование не распространяется на юридическое лицо, находящихся в процедуре экономической несостоятельности (банкротства), применяемой в целях восстановления платежеспособности (санации);</w:t>
            </w:r>
          </w:p>
          <w:p w:rsidR="00F73C42" w:rsidRPr="00F73C42" w:rsidRDefault="00F73C42" w:rsidP="00F73C42">
            <w:pPr>
              <w:jc w:val="both"/>
              <w:rPr>
                <w:sz w:val="28"/>
                <w:szCs w:val="28"/>
              </w:rPr>
            </w:pPr>
            <w:r w:rsidRPr="00F73C42">
              <w:rPr>
                <w:sz w:val="28"/>
                <w:szCs w:val="28"/>
              </w:rPr>
              <w:t>- юридическое лицо при наличии неснятой или непогашенной судимости у руководителя организации-участника (лица уполномоченного на заключение договора), а равно при наличии в отношении кого-либо из указанных лиц возбужденного уголовного дела;</w:t>
            </w:r>
          </w:p>
          <w:p w:rsidR="00F73C42" w:rsidRPr="00F73C42" w:rsidRDefault="00F73C42" w:rsidP="00F73C42">
            <w:pPr>
              <w:jc w:val="both"/>
              <w:rPr>
                <w:sz w:val="28"/>
                <w:szCs w:val="28"/>
              </w:rPr>
            </w:pPr>
            <w:r w:rsidRPr="00F73C42">
              <w:rPr>
                <w:sz w:val="28"/>
                <w:szCs w:val="28"/>
              </w:rPr>
              <w:t>- юридическое лицо, представившее недостоверную информацию о себе.</w:t>
            </w:r>
          </w:p>
          <w:p w:rsidR="00D93E23" w:rsidRPr="00B76BD2" w:rsidRDefault="00F73C42" w:rsidP="00F73C42">
            <w:pPr>
              <w:jc w:val="both"/>
              <w:rPr>
                <w:sz w:val="28"/>
                <w:szCs w:val="28"/>
              </w:rPr>
            </w:pPr>
            <w:r w:rsidRPr="00F73C42">
              <w:rPr>
                <w:sz w:val="28"/>
                <w:szCs w:val="28"/>
              </w:rPr>
              <w:t xml:space="preserve">         -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F73C42">
        <w:tc>
          <w:tcPr>
            <w:tcW w:w="3119"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r w:rsidR="003718D0">
              <w:rPr>
                <w:sz w:val="28"/>
                <w:szCs w:val="28"/>
              </w:rPr>
              <w:t>:</w:t>
            </w:r>
          </w:p>
        </w:tc>
        <w:tc>
          <w:tcPr>
            <w:tcW w:w="6804" w:type="dxa"/>
            <w:shd w:val="clear" w:color="auto" w:fill="auto"/>
          </w:tcPr>
          <w:p w:rsidR="00426359" w:rsidRPr="00B76BD2" w:rsidRDefault="005B2458" w:rsidP="00DE48E8">
            <w:pPr>
              <w:jc w:val="both"/>
              <w:rPr>
                <w:sz w:val="28"/>
                <w:szCs w:val="28"/>
              </w:rPr>
            </w:pPr>
            <w:r>
              <w:rPr>
                <w:sz w:val="28"/>
                <w:szCs w:val="28"/>
              </w:rPr>
              <w:t>Не позднее 01.10.2022</w:t>
            </w:r>
          </w:p>
        </w:tc>
      </w:tr>
      <w:tr w:rsidR="000119BA" w:rsidRPr="004A1CE9" w:rsidTr="00F73C42">
        <w:tc>
          <w:tcPr>
            <w:tcW w:w="3119" w:type="dxa"/>
            <w:shd w:val="clear" w:color="auto" w:fill="auto"/>
            <w:vAlign w:val="center"/>
          </w:tcPr>
          <w:p w:rsidR="000119BA" w:rsidRDefault="000119BA" w:rsidP="00F304B8">
            <w:pPr>
              <w:rPr>
                <w:sz w:val="28"/>
                <w:szCs w:val="28"/>
              </w:rPr>
            </w:pPr>
            <w:r>
              <w:rPr>
                <w:sz w:val="28"/>
                <w:szCs w:val="28"/>
              </w:rPr>
              <w:t>Место оказания услуг</w:t>
            </w:r>
            <w:r w:rsidR="003718D0">
              <w:rPr>
                <w:sz w:val="28"/>
                <w:szCs w:val="28"/>
              </w:rPr>
              <w:t>:</w:t>
            </w:r>
          </w:p>
        </w:tc>
        <w:tc>
          <w:tcPr>
            <w:tcW w:w="6804" w:type="dxa"/>
            <w:shd w:val="clear" w:color="auto" w:fill="auto"/>
          </w:tcPr>
          <w:p w:rsidR="000119BA" w:rsidRPr="00D93E23" w:rsidRDefault="00AC09F6" w:rsidP="00ED2A97">
            <w:pPr>
              <w:jc w:val="both"/>
              <w:rPr>
                <w:sz w:val="28"/>
                <w:szCs w:val="28"/>
              </w:rPr>
            </w:pPr>
            <w:r>
              <w:rPr>
                <w:sz w:val="28"/>
                <w:szCs w:val="28"/>
              </w:rPr>
              <w:t>Р</w:t>
            </w:r>
            <w:r w:rsidR="00ED2A97">
              <w:rPr>
                <w:sz w:val="28"/>
                <w:szCs w:val="28"/>
              </w:rPr>
              <w:t>еспублика Беларусь</w:t>
            </w:r>
            <w:r>
              <w:rPr>
                <w:sz w:val="28"/>
                <w:szCs w:val="28"/>
              </w:rPr>
              <w:t xml:space="preserve">, </w:t>
            </w:r>
            <w:r w:rsidR="000119BA">
              <w:rPr>
                <w:sz w:val="28"/>
                <w:szCs w:val="28"/>
              </w:rPr>
              <w:t>г. Минск</w:t>
            </w:r>
            <w:r w:rsidR="008816A6">
              <w:rPr>
                <w:sz w:val="28"/>
                <w:szCs w:val="28"/>
              </w:rPr>
              <w:t>.</w:t>
            </w:r>
          </w:p>
        </w:tc>
      </w:tr>
      <w:tr w:rsidR="00C249CD" w:rsidRPr="004A1CE9" w:rsidTr="00F73C42">
        <w:tc>
          <w:tcPr>
            <w:tcW w:w="3119"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спецификации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F73C42">
        <w:tc>
          <w:tcPr>
            <w:tcW w:w="3119" w:type="dxa"/>
            <w:shd w:val="clear" w:color="auto" w:fill="auto"/>
            <w:vAlign w:val="center"/>
          </w:tcPr>
          <w:p w:rsidR="00EE4099" w:rsidRPr="00A71DF4" w:rsidRDefault="001703A0" w:rsidP="00D93E23">
            <w:pPr>
              <w:rPr>
                <w:i/>
                <w:sz w:val="28"/>
                <w:szCs w:val="28"/>
              </w:rPr>
            </w:pPr>
            <w:r w:rsidRPr="00A71DF4">
              <w:rPr>
                <w:i/>
                <w:sz w:val="28"/>
                <w:szCs w:val="28"/>
              </w:rPr>
              <w:t>Квалификационные</w:t>
            </w:r>
            <w:r w:rsidR="00EE4099" w:rsidRPr="00A71DF4">
              <w:rPr>
                <w:i/>
                <w:sz w:val="28"/>
                <w:szCs w:val="28"/>
              </w:rPr>
              <w:t xml:space="preserve"> требования к участникам закупки</w:t>
            </w:r>
            <w:r w:rsidR="003718D0" w:rsidRPr="00A71DF4">
              <w:rPr>
                <w:i/>
                <w:sz w:val="28"/>
                <w:szCs w:val="28"/>
              </w:rPr>
              <w:t>:</w:t>
            </w:r>
          </w:p>
        </w:tc>
        <w:tc>
          <w:tcPr>
            <w:tcW w:w="6804" w:type="dxa"/>
            <w:shd w:val="clear" w:color="auto" w:fill="auto"/>
          </w:tcPr>
          <w:p w:rsidR="00081AD8" w:rsidRPr="00A71DF4" w:rsidRDefault="00ED2A97" w:rsidP="00A66379">
            <w:pPr>
              <w:jc w:val="both"/>
              <w:rPr>
                <w:i/>
                <w:sz w:val="28"/>
                <w:szCs w:val="28"/>
                <w:lang w:eastAsia="ar-SA"/>
              </w:rPr>
            </w:pPr>
            <w:r w:rsidRPr="00A71DF4">
              <w:rPr>
                <w:i/>
                <w:sz w:val="28"/>
                <w:szCs w:val="28"/>
              </w:rPr>
              <w:t>Наличие предыдущего опыта деятельности контрагентов в сфере оказания услуг по проведению внешней независимой оценки эффективности корпоративного управления по внутренним и международным стандартам</w:t>
            </w:r>
            <w:r w:rsidR="00A66379" w:rsidRPr="00A71DF4">
              <w:rPr>
                <w:i/>
                <w:sz w:val="28"/>
                <w:szCs w:val="28"/>
              </w:rPr>
              <w:t>, наличие опыта работы с Банком (</w:t>
            </w:r>
            <w:r w:rsidR="00A66379" w:rsidRPr="00A71DF4">
              <w:rPr>
                <w:i/>
                <w:sz w:val="28"/>
                <w:szCs w:val="28"/>
                <w:lang w:eastAsia="ar-SA"/>
              </w:rPr>
              <w:t>подтверждается письменным уведомлением Участника).</w:t>
            </w:r>
          </w:p>
        </w:tc>
      </w:tr>
      <w:tr w:rsidR="00004EE8" w:rsidRPr="004A1CE9" w:rsidTr="00F73C42">
        <w:tc>
          <w:tcPr>
            <w:tcW w:w="3119"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 группы сделок</w:t>
            </w:r>
            <w:r w:rsidR="00681A41" w:rsidRPr="00C02EC9">
              <w:rPr>
                <w:sz w:val="28"/>
                <w:szCs w:val="28"/>
              </w:rPr>
              <w:t xml:space="preserve"> в</w:t>
            </w:r>
            <w:r w:rsidRPr="005B6106">
              <w:rPr>
                <w:sz w:val="28"/>
                <w:szCs w:val="28"/>
              </w:rPr>
              <w:t xml:space="preserve"> </w:t>
            </w:r>
            <w:r>
              <w:rPr>
                <w:sz w:val="28"/>
                <w:szCs w:val="28"/>
              </w:rPr>
              <w:t>долларах США</w:t>
            </w:r>
            <w:r w:rsidR="00681A41" w:rsidRPr="00C02EC9">
              <w:rPr>
                <w:sz w:val="28"/>
                <w:szCs w:val="28"/>
              </w:rPr>
              <w:t xml:space="preserve"> </w:t>
            </w:r>
            <w:r>
              <w:rPr>
                <w:sz w:val="28"/>
                <w:szCs w:val="28"/>
              </w:rPr>
              <w:t>(</w:t>
            </w:r>
            <w:r w:rsidR="00081AD8">
              <w:rPr>
                <w:sz w:val="28"/>
                <w:szCs w:val="28"/>
                <w:lang w:val="en-US"/>
              </w:rPr>
              <w:t>USD</w:t>
            </w:r>
            <w:r>
              <w:rPr>
                <w:sz w:val="28"/>
                <w:szCs w:val="28"/>
              </w:rPr>
              <w:t>)</w:t>
            </w:r>
            <w:r w:rsidR="00681A41" w:rsidRPr="00C02EC9">
              <w:rPr>
                <w:sz w:val="28"/>
                <w:szCs w:val="28"/>
              </w:rPr>
              <w:t xml:space="preserve"> с НДС </w:t>
            </w:r>
            <w:r w:rsidR="00681A41">
              <w:rPr>
                <w:sz w:val="28"/>
                <w:szCs w:val="28"/>
              </w:rPr>
              <w:t xml:space="preserve">(исходя из ориентировочного </w:t>
            </w:r>
            <w:r w:rsidR="0079157A">
              <w:rPr>
                <w:sz w:val="28"/>
                <w:szCs w:val="28"/>
              </w:rPr>
              <w:t>объема/</w:t>
            </w:r>
            <w:r w:rsidR="00681A41">
              <w:rPr>
                <w:sz w:val="28"/>
                <w:szCs w:val="28"/>
              </w:rPr>
              <w:t xml:space="preserve">содержания </w:t>
            </w:r>
            <w:r w:rsidR="009A3ABC">
              <w:rPr>
                <w:sz w:val="28"/>
                <w:szCs w:val="28"/>
              </w:rPr>
              <w:t>услуг</w:t>
            </w:r>
            <w:r w:rsidR="00681A41">
              <w:rPr>
                <w:sz w:val="28"/>
                <w:szCs w:val="28"/>
              </w:rPr>
              <w:t>, указанн</w:t>
            </w:r>
            <w:r w:rsidR="009A3ABC">
              <w:rPr>
                <w:sz w:val="28"/>
                <w:szCs w:val="28"/>
              </w:rPr>
              <w:t>ых</w:t>
            </w:r>
            <w:r w:rsidR="00681A41">
              <w:rPr>
                <w:sz w:val="28"/>
                <w:szCs w:val="28"/>
              </w:rPr>
              <w:t xml:space="preserve"> в </w:t>
            </w:r>
            <w:r w:rsidR="000E65C0">
              <w:rPr>
                <w:sz w:val="28"/>
                <w:szCs w:val="28"/>
              </w:rPr>
              <w:t xml:space="preserve">спецификации </w:t>
            </w:r>
            <w:r w:rsidR="00681A41">
              <w:rPr>
                <w:sz w:val="28"/>
                <w:szCs w:val="28"/>
              </w:rPr>
              <w:t>Приложения №1 к Приглашению).</w:t>
            </w:r>
          </w:p>
          <w:p w:rsidR="00F208B7" w:rsidRPr="004A1CE9" w:rsidRDefault="00681A41" w:rsidP="007C7C20">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w:t>
            </w:r>
            <w:r w:rsidR="007C7C20">
              <w:rPr>
                <w:i/>
                <w:sz w:val="28"/>
                <w:szCs w:val="28"/>
              </w:rPr>
              <w:t>нием диапазонов стоимости услуг.</w:t>
            </w:r>
          </w:p>
        </w:tc>
      </w:tr>
      <w:tr w:rsidR="00520013" w:rsidRPr="004A1CE9" w:rsidTr="00F73C42">
        <w:tc>
          <w:tcPr>
            <w:tcW w:w="3119"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r w:rsidR="003718D0">
              <w:rPr>
                <w:sz w:val="28"/>
                <w:szCs w:val="28"/>
              </w:rPr>
              <w:t>:</w:t>
            </w:r>
          </w:p>
        </w:tc>
        <w:tc>
          <w:tcPr>
            <w:tcW w:w="6804" w:type="dxa"/>
            <w:shd w:val="clear" w:color="auto" w:fill="auto"/>
          </w:tcPr>
          <w:p w:rsidR="00520013" w:rsidRPr="00C02EC9" w:rsidRDefault="00566D42" w:rsidP="00520013">
            <w:pPr>
              <w:autoSpaceDE w:val="0"/>
              <w:autoSpaceDN w:val="0"/>
              <w:adjustRightInd w:val="0"/>
              <w:jc w:val="both"/>
              <w:rPr>
                <w:sz w:val="28"/>
                <w:szCs w:val="28"/>
              </w:rPr>
            </w:pPr>
            <w:r>
              <w:rPr>
                <w:sz w:val="28"/>
                <w:szCs w:val="28"/>
              </w:rPr>
              <w:t>С</w:t>
            </w:r>
            <w:r w:rsidR="00520013" w:rsidRPr="00520013">
              <w:rPr>
                <w:sz w:val="28"/>
                <w:szCs w:val="28"/>
              </w:rPr>
              <w:t xml:space="preserve">рок и условия предоставления услуг, условия оплаты в соответствии с требованиями настоящих документов, меры ответственности за неисполнение договора, </w:t>
            </w:r>
            <w:r w:rsidR="008B2E19" w:rsidRPr="00520013">
              <w:rPr>
                <w:sz w:val="28"/>
                <w:szCs w:val="28"/>
              </w:rPr>
              <w:t>антикоррупционная</w:t>
            </w:r>
            <w:r w:rsidR="00520013" w:rsidRPr="00520013">
              <w:rPr>
                <w:sz w:val="28"/>
                <w:szCs w:val="28"/>
              </w:rPr>
              <w:t xml:space="preserve"> </w:t>
            </w:r>
            <w:r w:rsidR="007C7C20">
              <w:rPr>
                <w:sz w:val="28"/>
                <w:szCs w:val="28"/>
              </w:rPr>
              <w:t>оговорка согласно Приложению № 3</w:t>
            </w:r>
            <w:r w:rsidR="00520013" w:rsidRPr="00520013">
              <w:rPr>
                <w:sz w:val="28"/>
                <w:szCs w:val="28"/>
              </w:rPr>
              <w:t xml:space="preserve"> к Приглашению</w:t>
            </w:r>
            <w:r w:rsidR="008B2E19">
              <w:rPr>
                <w:sz w:val="28"/>
                <w:szCs w:val="28"/>
              </w:rPr>
              <w:t>.</w:t>
            </w:r>
          </w:p>
        </w:tc>
      </w:tr>
      <w:tr w:rsidR="00E115C5" w:rsidRPr="004A1CE9" w:rsidTr="00F73C42">
        <w:tc>
          <w:tcPr>
            <w:tcW w:w="3119"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r w:rsidR="003718D0">
              <w:rPr>
                <w:sz w:val="28"/>
                <w:szCs w:val="28"/>
              </w:rPr>
              <w:t>:</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8E1340"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E96995">
              <w:rPr>
                <w:sz w:val="28"/>
                <w:szCs w:val="28"/>
              </w:rPr>
              <w:t xml:space="preserve">стоимость услуг </w:t>
            </w:r>
            <w:r w:rsidR="005B6106">
              <w:rPr>
                <w:sz w:val="28"/>
                <w:szCs w:val="28"/>
              </w:rPr>
              <w:t>в разрезе по группам сделок</w:t>
            </w:r>
            <w:r w:rsidR="00097FA4">
              <w:rPr>
                <w:sz w:val="28"/>
                <w:szCs w:val="28"/>
              </w:rPr>
              <w:t xml:space="preserve"> </w:t>
            </w:r>
            <w:r w:rsidRPr="00681A41">
              <w:rPr>
                <w:sz w:val="28"/>
                <w:szCs w:val="28"/>
              </w:rPr>
              <w:t xml:space="preserve">в </w:t>
            </w:r>
            <w:r w:rsidR="00690AF5">
              <w:rPr>
                <w:sz w:val="28"/>
                <w:szCs w:val="28"/>
                <w:lang w:val="en-US"/>
              </w:rPr>
              <w:t>USD</w:t>
            </w:r>
            <w:r w:rsidR="008E1340">
              <w:rPr>
                <w:sz w:val="28"/>
                <w:szCs w:val="28"/>
              </w:rPr>
              <w:t xml:space="preserve"> с НДС (исходя из </w:t>
            </w:r>
            <w:r w:rsidRPr="00681A41">
              <w:rPr>
                <w:sz w:val="28"/>
                <w:szCs w:val="28"/>
              </w:rPr>
              <w:t>ориентировочного</w:t>
            </w:r>
            <w:r w:rsidR="008E1340">
              <w:rPr>
                <w:sz w:val="28"/>
                <w:szCs w:val="28"/>
              </w:rPr>
              <w:t> </w:t>
            </w:r>
          </w:p>
          <w:p w:rsidR="00681A41" w:rsidRPr="00681A41" w:rsidRDefault="0079157A" w:rsidP="008E1340">
            <w:pPr>
              <w:pStyle w:val="aa"/>
              <w:autoSpaceDE w:val="0"/>
              <w:autoSpaceDN w:val="0"/>
              <w:adjustRightInd w:val="0"/>
              <w:ind w:left="780"/>
              <w:jc w:val="both"/>
              <w:rPr>
                <w:sz w:val="28"/>
                <w:szCs w:val="28"/>
              </w:rPr>
            </w:pPr>
            <w:r>
              <w:rPr>
                <w:sz w:val="28"/>
                <w:szCs w:val="28"/>
              </w:rPr>
              <w:t>объема/</w:t>
            </w:r>
            <w:r w:rsidR="00681A41" w:rsidRPr="00681A41">
              <w:rPr>
                <w:sz w:val="28"/>
                <w:szCs w:val="28"/>
              </w:rPr>
              <w:t xml:space="preserve">содержания </w:t>
            </w:r>
            <w:r w:rsidR="009A3ABC">
              <w:rPr>
                <w:sz w:val="28"/>
                <w:szCs w:val="28"/>
              </w:rPr>
              <w:t>услуг</w:t>
            </w:r>
            <w:r w:rsidR="00681A41" w:rsidRPr="00681A41">
              <w:rPr>
                <w:sz w:val="28"/>
                <w:szCs w:val="28"/>
              </w:rPr>
              <w:t>, указанн</w:t>
            </w:r>
            <w:r w:rsidR="009A3ABC">
              <w:rPr>
                <w:sz w:val="28"/>
                <w:szCs w:val="28"/>
              </w:rPr>
              <w:t>ых</w:t>
            </w:r>
            <w:r w:rsidR="008E1340">
              <w:rPr>
                <w:sz w:val="28"/>
                <w:szCs w:val="28"/>
              </w:rPr>
              <w:t xml:space="preserve"> в Приложения №1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t xml:space="preserve">условия оказания услуг; </w:t>
            </w:r>
          </w:p>
          <w:p w:rsidR="0053219B" w:rsidRPr="0053219B" w:rsidRDefault="00681A41" w:rsidP="0053219B">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53219B" w:rsidRDefault="00104D80" w:rsidP="00EA5A35">
            <w:pPr>
              <w:autoSpaceDE w:val="0"/>
              <w:autoSpaceDN w:val="0"/>
              <w:adjustRightInd w:val="0"/>
              <w:jc w:val="both"/>
              <w:rPr>
                <w:b/>
                <w:sz w:val="28"/>
                <w:szCs w:val="28"/>
              </w:rPr>
            </w:pPr>
            <w:r w:rsidRPr="0053219B">
              <w:rPr>
                <w:b/>
                <w:sz w:val="28"/>
                <w:szCs w:val="28"/>
              </w:rPr>
              <w:t>Коммерческое п</w:t>
            </w:r>
            <w:r w:rsidR="00EA5A35" w:rsidRPr="0053219B">
              <w:rPr>
                <w:b/>
                <w:sz w:val="28"/>
                <w:szCs w:val="28"/>
              </w:rPr>
              <w:t>редложение</w:t>
            </w:r>
            <w:r w:rsidRPr="0053219B">
              <w:rPr>
                <w:b/>
                <w:sz w:val="28"/>
                <w:szCs w:val="28"/>
              </w:rPr>
              <w:t xml:space="preserve"> дополнительно</w:t>
            </w:r>
            <w:r w:rsidR="0053219B">
              <w:rPr>
                <w:b/>
                <w:sz w:val="28"/>
                <w:szCs w:val="28"/>
              </w:rPr>
              <w:t xml:space="preserve"> должно включать: </w:t>
            </w:r>
          </w:p>
          <w:p w:rsidR="0053219B" w:rsidRDefault="0053219B" w:rsidP="00EA5A35">
            <w:pPr>
              <w:autoSpaceDE w:val="0"/>
              <w:autoSpaceDN w:val="0"/>
              <w:adjustRightInd w:val="0"/>
              <w:jc w:val="both"/>
              <w:rPr>
                <w:sz w:val="28"/>
                <w:szCs w:val="28"/>
              </w:rPr>
            </w:pPr>
            <w:r>
              <w:rPr>
                <w:sz w:val="28"/>
                <w:szCs w:val="28"/>
              </w:rPr>
              <w:lastRenderedPageBreak/>
              <w:t>С</w:t>
            </w:r>
            <w:r w:rsidR="00647080">
              <w:rPr>
                <w:sz w:val="28"/>
                <w:szCs w:val="28"/>
              </w:rPr>
              <w:t>пецификац</w:t>
            </w:r>
            <w:r w:rsidR="00647080" w:rsidRPr="00647080">
              <w:rPr>
                <w:sz w:val="28"/>
                <w:szCs w:val="28"/>
              </w:rPr>
              <w:t xml:space="preserve">ию </w:t>
            </w:r>
            <w:r w:rsidR="00A71DF4">
              <w:rPr>
                <w:sz w:val="28"/>
                <w:szCs w:val="28"/>
              </w:rPr>
              <w:t xml:space="preserve">по </w:t>
            </w:r>
            <w:r w:rsidR="00647080" w:rsidRPr="00647080">
              <w:rPr>
                <w:sz w:val="28"/>
                <w:szCs w:val="28"/>
              </w:rPr>
              <w:t>п</w:t>
            </w:r>
            <w:r w:rsidR="008F5319">
              <w:rPr>
                <w:sz w:val="28"/>
                <w:szCs w:val="28"/>
              </w:rPr>
              <w:t>редмет</w:t>
            </w:r>
            <w:r w:rsidR="00A71DF4">
              <w:rPr>
                <w:sz w:val="28"/>
                <w:szCs w:val="28"/>
              </w:rPr>
              <w:t>у</w:t>
            </w:r>
            <w:r w:rsidR="008F5319">
              <w:rPr>
                <w:sz w:val="28"/>
                <w:szCs w:val="28"/>
              </w:rPr>
              <w:t xml:space="preserve"> закупки (П</w:t>
            </w:r>
            <w:r w:rsidR="00647080">
              <w:rPr>
                <w:sz w:val="28"/>
                <w:szCs w:val="28"/>
              </w:rPr>
              <w:t>риложение</w:t>
            </w:r>
            <w:r>
              <w:rPr>
                <w:sz w:val="28"/>
                <w:szCs w:val="28"/>
              </w:rPr>
              <w:t xml:space="preserve"> №</w:t>
            </w:r>
            <w:r w:rsidR="00647080">
              <w:rPr>
                <w:sz w:val="28"/>
                <w:szCs w:val="28"/>
              </w:rPr>
              <w:t>1 к П</w:t>
            </w:r>
            <w:r w:rsidR="00647080" w:rsidRPr="00647080">
              <w:rPr>
                <w:sz w:val="28"/>
                <w:szCs w:val="28"/>
              </w:rPr>
              <w:t>риглашению</w:t>
            </w:r>
            <w:r w:rsidR="00647080">
              <w:rPr>
                <w:sz w:val="28"/>
                <w:szCs w:val="28"/>
              </w:rPr>
              <w:t>)</w:t>
            </w:r>
            <w:r>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53219B" w:rsidRDefault="00681A41" w:rsidP="00681A41">
            <w:pPr>
              <w:autoSpaceDE w:val="0"/>
              <w:autoSpaceDN w:val="0"/>
              <w:adjustRightInd w:val="0"/>
              <w:jc w:val="both"/>
              <w:rPr>
                <w:sz w:val="28"/>
                <w:szCs w:val="28"/>
              </w:rPr>
            </w:pPr>
            <w:r w:rsidRPr="0053219B">
              <w:rPr>
                <w:b/>
                <w:sz w:val="28"/>
                <w:szCs w:val="28"/>
              </w:rPr>
              <w:t>Приложения к коммерческому предложению</w:t>
            </w:r>
            <w:r w:rsidRPr="0053219B">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w:t>
            </w:r>
            <w:r w:rsidR="0053219B">
              <w:rPr>
                <w:sz w:val="28"/>
                <w:szCs w:val="28"/>
              </w:rPr>
              <w:t xml:space="preserve"> №</w:t>
            </w:r>
            <w:r w:rsidRPr="00C02EC9">
              <w:rPr>
                <w:sz w:val="28"/>
                <w:szCs w:val="28"/>
              </w:rPr>
              <w:t xml:space="preserve"> </w:t>
            </w:r>
            <w:r w:rsidR="007C7C20">
              <w:rPr>
                <w:sz w:val="28"/>
                <w:szCs w:val="28"/>
              </w:rPr>
              <w:t>2</w:t>
            </w:r>
            <w:r w:rsidRPr="00C02EC9">
              <w:rPr>
                <w:sz w:val="28"/>
                <w:szCs w:val="28"/>
              </w:rPr>
              <w:t xml:space="preserve"> к Приглашению);</w:t>
            </w:r>
          </w:p>
          <w:p w:rsidR="00647080" w:rsidRDefault="00EA5A35" w:rsidP="00081AD8">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53219B">
              <w:rPr>
                <w:b/>
                <w:sz w:val="28"/>
                <w:szCs w:val="28"/>
              </w:rPr>
              <w:t>документы</w:t>
            </w:r>
            <w:r w:rsidR="007C7C20">
              <w:rPr>
                <w:b/>
                <w:sz w:val="28"/>
                <w:szCs w:val="28"/>
              </w:rPr>
              <w:t>/письма</w:t>
            </w:r>
            <w:r w:rsidR="00081AD8" w:rsidRPr="0053219B">
              <w:rPr>
                <w:b/>
                <w:sz w:val="28"/>
                <w:szCs w:val="28"/>
              </w:rPr>
              <w:t>,</w:t>
            </w:r>
            <w:r w:rsidR="00681A41" w:rsidRPr="0053219B">
              <w:rPr>
                <w:b/>
                <w:sz w:val="28"/>
                <w:szCs w:val="28"/>
              </w:rPr>
              <w:t xml:space="preserve"> подтверждающие</w:t>
            </w:r>
            <w:r w:rsidR="0053219B" w:rsidRPr="0053219B">
              <w:rPr>
                <w:b/>
                <w:sz w:val="28"/>
                <w:szCs w:val="28"/>
              </w:rPr>
              <w:t xml:space="preserve"> соответствие квалификационным</w:t>
            </w:r>
            <w:r w:rsidR="00681A41" w:rsidRPr="0053219B">
              <w:rPr>
                <w:b/>
                <w:sz w:val="28"/>
                <w:szCs w:val="28"/>
              </w:rPr>
              <w:t xml:space="preserve"> </w:t>
            </w:r>
            <w:r w:rsidR="0053219B" w:rsidRPr="0053219B">
              <w:rPr>
                <w:b/>
                <w:sz w:val="28"/>
                <w:szCs w:val="28"/>
              </w:rPr>
              <w:t xml:space="preserve">       </w:t>
            </w:r>
            <w:r w:rsidR="00081AD8" w:rsidRPr="0053219B">
              <w:rPr>
                <w:b/>
                <w:sz w:val="28"/>
                <w:szCs w:val="28"/>
              </w:rPr>
              <w:t>требования</w:t>
            </w:r>
            <w:r w:rsidR="0053219B" w:rsidRPr="0053219B">
              <w:rPr>
                <w:b/>
                <w:sz w:val="28"/>
                <w:szCs w:val="28"/>
              </w:rPr>
              <w:t>м</w:t>
            </w:r>
            <w:r w:rsidR="00081AD8" w:rsidRPr="0053219B">
              <w:rPr>
                <w:b/>
                <w:sz w:val="28"/>
                <w:szCs w:val="28"/>
              </w:rPr>
              <w:t>.</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F73C42">
        <w:tc>
          <w:tcPr>
            <w:tcW w:w="3119"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я по условиям оплаты</w:t>
            </w:r>
            <w:r w:rsidR="003718D0">
              <w:rPr>
                <w:sz w:val="28"/>
                <w:szCs w:val="28"/>
              </w:rPr>
              <w:t>:</w:t>
            </w:r>
            <w:r w:rsidR="007C3FC5" w:rsidRPr="004A1CE9">
              <w:rPr>
                <w:sz w:val="28"/>
                <w:szCs w:val="28"/>
              </w:rPr>
              <w:t xml:space="preserve"> </w:t>
            </w:r>
          </w:p>
        </w:tc>
        <w:tc>
          <w:tcPr>
            <w:tcW w:w="6804" w:type="dxa"/>
            <w:shd w:val="clear" w:color="auto" w:fill="auto"/>
          </w:tcPr>
          <w:p w:rsidR="00382167" w:rsidRPr="004A1CE9" w:rsidRDefault="00566D42" w:rsidP="007C7C20">
            <w:pPr>
              <w:autoSpaceDE w:val="0"/>
              <w:autoSpaceDN w:val="0"/>
              <w:adjustRightInd w:val="0"/>
              <w:jc w:val="both"/>
              <w:rPr>
                <w:color w:val="000000"/>
                <w:sz w:val="28"/>
                <w:szCs w:val="28"/>
              </w:rPr>
            </w:pPr>
            <w:r>
              <w:rPr>
                <w:color w:val="000000"/>
                <w:sz w:val="28"/>
                <w:szCs w:val="28"/>
              </w:rPr>
              <w:t xml:space="preserve">В </w:t>
            </w:r>
            <w:r w:rsidR="00081AD8" w:rsidRPr="00081AD8">
              <w:rPr>
                <w:color w:val="000000"/>
                <w:sz w:val="28"/>
                <w:szCs w:val="28"/>
              </w:rPr>
              <w:t xml:space="preserve">течение </w:t>
            </w:r>
            <w:r w:rsidR="007C7C20">
              <w:rPr>
                <w:color w:val="000000"/>
                <w:sz w:val="28"/>
                <w:szCs w:val="28"/>
              </w:rPr>
              <w:t>7</w:t>
            </w:r>
            <w:r w:rsidR="00081AD8" w:rsidRPr="00081AD8">
              <w:rPr>
                <w:color w:val="000000"/>
                <w:sz w:val="28"/>
                <w:szCs w:val="28"/>
              </w:rPr>
              <w:t xml:space="preserve"> (</w:t>
            </w:r>
            <w:r w:rsidR="007C7C20">
              <w:rPr>
                <w:color w:val="000000"/>
                <w:sz w:val="28"/>
                <w:szCs w:val="28"/>
              </w:rPr>
              <w:t>семи</w:t>
            </w:r>
            <w:r w:rsidR="00081AD8" w:rsidRPr="00081AD8">
              <w:rPr>
                <w:color w:val="000000"/>
                <w:sz w:val="28"/>
                <w:szCs w:val="28"/>
              </w:rPr>
              <w:t>) банковских дней с момента подписания Акта сдачи-приема оказанных услуг обеими сторонами</w:t>
            </w:r>
            <w:r w:rsidR="00B8195A">
              <w:rPr>
                <w:color w:val="000000"/>
                <w:sz w:val="28"/>
                <w:szCs w:val="28"/>
              </w:rPr>
              <w:t>.</w:t>
            </w:r>
          </w:p>
        </w:tc>
      </w:tr>
      <w:tr w:rsidR="00081AD8" w:rsidRPr="004A1CE9" w:rsidTr="00F73C42">
        <w:tc>
          <w:tcPr>
            <w:tcW w:w="3119"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r w:rsidR="003718D0">
              <w:rPr>
                <w:sz w:val="28"/>
                <w:szCs w:val="28"/>
              </w:rPr>
              <w:t>:</w:t>
            </w:r>
          </w:p>
        </w:tc>
        <w:tc>
          <w:tcPr>
            <w:tcW w:w="6804" w:type="dxa"/>
            <w:shd w:val="clear" w:color="auto" w:fill="auto"/>
          </w:tcPr>
          <w:p w:rsidR="00A12CA2" w:rsidRDefault="00A12CA2" w:rsidP="00296BA2">
            <w:pPr>
              <w:autoSpaceDE w:val="0"/>
              <w:autoSpaceDN w:val="0"/>
              <w:adjustRightInd w:val="0"/>
              <w:jc w:val="both"/>
              <w:rPr>
                <w:sz w:val="28"/>
                <w:szCs w:val="28"/>
              </w:rPr>
            </w:pPr>
            <w:r>
              <w:rPr>
                <w:sz w:val="28"/>
                <w:szCs w:val="28"/>
              </w:rPr>
              <w:t>Для резидентов Республики Беларусь:</w:t>
            </w:r>
          </w:p>
          <w:p w:rsidR="007C7C20" w:rsidRDefault="00A12CA2" w:rsidP="00296BA2">
            <w:pPr>
              <w:autoSpaceDE w:val="0"/>
              <w:autoSpaceDN w:val="0"/>
              <w:adjustRightInd w:val="0"/>
              <w:jc w:val="both"/>
              <w:rPr>
                <w:sz w:val="28"/>
                <w:szCs w:val="28"/>
              </w:rPr>
            </w:pPr>
            <w:r>
              <w:rPr>
                <w:sz w:val="28"/>
                <w:szCs w:val="28"/>
              </w:rPr>
              <w:t>- 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sidR="00081AD8">
              <w:rPr>
                <w:sz w:val="28"/>
                <w:szCs w:val="28"/>
              </w:rPr>
              <w:t xml:space="preserve"> </w:t>
            </w:r>
            <w:r w:rsidR="001C4478">
              <w:rPr>
                <w:sz w:val="28"/>
                <w:szCs w:val="28"/>
              </w:rPr>
              <w:t xml:space="preserve">(цена в белорусских рублях </w:t>
            </w:r>
            <w:r w:rsidR="00081AD8" w:rsidRPr="00081AD8">
              <w:rPr>
                <w:sz w:val="28"/>
                <w:szCs w:val="28"/>
              </w:rPr>
              <w:t>определяется</w:t>
            </w:r>
            <w:r w:rsidR="00A71DF4">
              <w:rPr>
                <w:sz w:val="28"/>
                <w:szCs w:val="28"/>
              </w:rPr>
              <w:t xml:space="preserve"> по курсу Национального банка Республики Беларусь на дату оплаты)</w:t>
            </w:r>
            <w:r w:rsidR="007C7C20">
              <w:rPr>
                <w:sz w:val="28"/>
                <w:szCs w:val="28"/>
              </w:rPr>
              <w:t>;</w:t>
            </w:r>
          </w:p>
          <w:p w:rsidR="00A12CA2" w:rsidRDefault="00A12CA2" w:rsidP="00296BA2">
            <w:pPr>
              <w:autoSpaceDE w:val="0"/>
              <w:autoSpaceDN w:val="0"/>
              <w:adjustRightInd w:val="0"/>
              <w:jc w:val="both"/>
              <w:rPr>
                <w:sz w:val="28"/>
                <w:szCs w:val="28"/>
              </w:rPr>
            </w:pPr>
            <w:r>
              <w:rPr>
                <w:sz w:val="28"/>
                <w:szCs w:val="28"/>
              </w:rPr>
              <w:t>Для нерезидентов Республики Беларусь:</w:t>
            </w:r>
          </w:p>
          <w:p w:rsidR="00A12CA2" w:rsidRPr="00AD6B40" w:rsidRDefault="001C4478" w:rsidP="00296BA2">
            <w:pPr>
              <w:autoSpaceDE w:val="0"/>
              <w:autoSpaceDN w:val="0"/>
              <w:adjustRightInd w:val="0"/>
              <w:jc w:val="both"/>
              <w:rPr>
                <w:color w:val="000000"/>
                <w:sz w:val="28"/>
                <w:szCs w:val="28"/>
              </w:rPr>
            </w:pPr>
            <w:r>
              <w:rPr>
                <w:sz w:val="28"/>
                <w:szCs w:val="28"/>
              </w:rPr>
              <w:t>- доллар</w:t>
            </w:r>
            <w:r w:rsidR="00A12CA2">
              <w:rPr>
                <w:sz w:val="28"/>
                <w:szCs w:val="28"/>
              </w:rPr>
              <w:t xml:space="preserve"> США </w:t>
            </w:r>
            <w:r w:rsidRPr="00AD6B40">
              <w:rPr>
                <w:sz w:val="28"/>
                <w:szCs w:val="28"/>
              </w:rPr>
              <w:t>(</w:t>
            </w:r>
            <w:r>
              <w:rPr>
                <w:sz w:val="28"/>
                <w:szCs w:val="28"/>
                <w:lang w:val="en-US"/>
              </w:rPr>
              <w:t>USD</w:t>
            </w:r>
            <w:r w:rsidRPr="00AD6B40">
              <w:rPr>
                <w:sz w:val="28"/>
                <w:szCs w:val="28"/>
              </w:rPr>
              <w:t>)</w:t>
            </w:r>
            <w:r w:rsidR="00E214B7">
              <w:rPr>
                <w:sz w:val="28"/>
                <w:szCs w:val="28"/>
              </w:rPr>
              <w:t>.</w:t>
            </w:r>
          </w:p>
        </w:tc>
      </w:tr>
      <w:tr w:rsidR="0076578C" w:rsidRPr="004A1CE9" w:rsidTr="00F73C42">
        <w:tc>
          <w:tcPr>
            <w:tcW w:w="3119"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w:t>
            </w:r>
            <w:r w:rsidRPr="004A1CE9">
              <w:rPr>
                <w:sz w:val="28"/>
                <w:szCs w:val="28"/>
              </w:rPr>
              <w:lastRenderedPageBreak/>
              <w:t xml:space="preserve">коммерческих предложений: </w:t>
            </w:r>
            <w:r w:rsidR="0076578C" w:rsidRPr="004A1CE9">
              <w:rPr>
                <w:sz w:val="28"/>
                <w:szCs w:val="28"/>
              </w:rPr>
              <w:t xml:space="preserve"> </w:t>
            </w:r>
          </w:p>
        </w:tc>
        <w:tc>
          <w:tcPr>
            <w:tcW w:w="6804" w:type="dxa"/>
            <w:shd w:val="clear" w:color="auto" w:fill="auto"/>
          </w:tcPr>
          <w:p w:rsidR="0076578C" w:rsidRPr="00E214B7" w:rsidRDefault="00081AD8" w:rsidP="008A0F22">
            <w:pPr>
              <w:jc w:val="both"/>
              <w:rPr>
                <w:sz w:val="28"/>
                <w:szCs w:val="28"/>
              </w:rPr>
            </w:pPr>
            <w:r>
              <w:rPr>
                <w:sz w:val="28"/>
                <w:szCs w:val="28"/>
              </w:rPr>
              <w:lastRenderedPageBreak/>
              <w:t>Доллар США (</w:t>
            </w:r>
            <w:r>
              <w:rPr>
                <w:sz w:val="28"/>
                <w:szCs w:val="28"/>
                <w:lang w:val="en-US"/>
              </w:rPr>
              <w:t>USD)</w:t>
            </w:r>
            <w:r w:rsidR="00E214B7">
              <w:rPr>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r w:rsidR="003718D0">
              <w:rPr>
                <w:sz w:val="28"/>
                <w:szCs w:val="28"/>
              </w:rPr>
              <w:t>:</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926E45" w:rsidRDefault="00390C51" w:rsidP="007C7C20">
            <w:pPr>
              <w:tabs>
                <w:tab w:val="left" w:pos="2835"/>
              </w:tabs>
              <w:jc w:val="both"/>
              <w:rPr>
                <w:sz w:val="32"/>
                <w:szCs w:val="40"/>
              </w:rPr>
            </w:pPr>
            <w:hyperlink r:id="rId8" w:history="1">
              <w:r w:rsidR="00926E45" w:rsidRPr="0093662F">
                <w:rPr>
                  <w:rStyle w:val="a9"/>
                  <w:sz w:val="28"/>
                  <w:lang w:val="en-US"/>
                </w:rPr>
                <w:t>Tenders</w:t>
              </w:r>
              <w:r w:rsidR="00926E45" w:rsidRPr="0093662F">
                <w:rPr>
                  <w:rStyle w:val="a9"/>
                  <w:sz w:val="28"/>
                </w:rPr>
                <w:t>@sber-bank.by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926E45">
              <w:rPr>
                <w:sz w:val="28"/>
                <w:szCs w:val="28"/>
              </w:rPr>
              <w:t xml:space="preserve">предложение </w:t>
            </w:r>
            <w:r w:rsidR="00A441D8" w:rsidRPr="00926E45">
              <w:rPr>
                <w:sz w:val="28"/>
                <w:szCs w:val="28"/>
              </w:rPr>
              <w:t xml:space="preserve">к участию в процедуре закупки </w:t>
            </w:r>
            <w:r w:rsidR="00926E45" w:rsidRPr="00926E45">
              <w:rPr>
                <w:sz w:val="28"/>
                <w:szCs w:val="28"/>
              </w:rPr>
              <w:t>«</w:t>
            </w:r>
            <w:r w:rsidR="007C7C20" w:rsidRPr="0041536E">
              <w:rPr>
                <w:sz w:val="28"/>
                <w:szCs w:val="28"/>
              </w:rPr>
              <w:t>Оказание услуг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r w:rsidR="003718D0">
              <w:rPr>
                <w:sz w:val="28"/>
                <w:szCs w:val="28"/>
              </w:rPr>
              <w:t>:</w:t>
            </w:r>
          </w:p>
        </w:tc>
        <w:tc>
          <w:tcPr>
            <w:tcW w:w="6804" w:type="dxa"/>
            <w:shd w:val="clear" w:color="auto" w:fill="auto"/>
          </w:tcPr>
          <w:p w:rsidR="007C7C20" w:rsidRPr="007C7C20" w:rsidRDefault="007C7C20" w:rsidP="003718D0">
            <w:pPr>
              <w:pStyle w:val="a3"/>
              <w:widowControl w:val="0"/>
              <w:jc w:val="both"/>
              <w:rPr>
                <w:rFonts w:ascii="Times New Roman" w:hAnsi="Times New Roman"/>
                <w:sz w:val="28"/>
                <w:szCs w:val="28"/>
              </w:rPr>
            </w:pPr>
            <w:r w:rsidRPr="007C7C20">
              <w:rPr>
                <w:rFonts w:ascii="Times New Roman" w:hAnsi="Times New Roman"/>
                <w:sz w:val="28"/>
                <w:szCs w:val="28"/>
              </w:rPr>
              <w:t>Аксёнова Светлана Михайловна</w:t>
            </w:r>
          </w:p>
          <w:p w:rsidR="00117916" w:rsidRPr="004A1CE9" w:rsidRDefault="003718D0" w:rsidP="007C7C20">
            <w:pPr>
              <w:pStyle w:val="a3"/>
              <w:widowControl w:val="0"/>
              <w:jc w:val="both"/>
              <w:rPr>
                <w:rFonts w:ascii="Times New Roman" w:hAnsi="Times New Roman"/>
                <w:sz w:val="28"/>
                <w:szCs w:val="28"/>
              </w:rPr>
            </w:pPr>
            <w:r w:rsidRPr="00E2144C">
              <w:rPr>
                <w:rFonts w:ascii="Times New Roman" w:hAnsi="Times New Roman"/>
                <w:sz w:val="28"/>
                <w:szCs w:val="28"/>
              </w:rPr>
              <w:t>тел. +375 17</w:t>
            </w:r>
            <w:r w:rsidR="007C7C20">
              <w:rPr>
                <w:rFonts w:ascii="Times New Roman" w:hAnsi="Times New Roman"/>
                <w:sz w:val="28"/>
                <w:szCs w:val="28"/>
              </w:rPr>
              <w:t> </w:t>
            </w:r>
            <w:r w:rsidR="007C7C20" w:rsidRPr="007C7C20">
              <w:rPr>
                <w:rFonts w:ascii="Times New Roman" w:hAnsi="Times New Roman"/>
                <w:sz w:val="28"/>
                <w:szCs w:val="28"/>
              </w:rPr>
              <w:t>359</w:t>
            </w:r>
            <w:r w:rsidR="007C7C20">
              <w:rPr>
                <w:rFonts w:ascii="Times New Roman" w:hAnsi="Times New Roman"/>
                <w:sz w:val="28"/>
                <w:szCs w:val="28"/>
              </w:rPr>
              <w:t xml:space="preserve"> </w:t>
            </w:r>
            <w:r w:rsidR="007C7C20" w:rsidRPr="007C7C20">
              <w:rPr>
                <w:rFonts w:ascii="Times New Roman" w:hAnsi="Times New Roman"/>
                <w:sz w:val="28"/>
                <w:szCs w:val="28"/>
              </w:rPr>
              <w:t>97</w:t>
            </w:r>
            <w:r w:rsidR="007C7C20">
              <w:rPr>
                <w:rFonts w:ascii="Times New Roman" w:hAnsi="Times New Roman"/>
                <w:sz w:val="28"/>
                <w:szCs w:val="28"/>
              </w:rPr>
              <w:t xml:space="preserve"> </w:t>
            </w:r>
            <w:r w:rsidR="007C7C20" w:rsidRPr="007C7C20">
              <w:rPr>
                <w:rFonts w:ascii="Times New Roman" w:hAnsi="Times New Roman"/>
                <w:sz w:val="28"/>
                <w:szCs w:val="28"/>
              </w:rPr>
              <w:t>22</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r w:rsidR="003718D0">
              <w:rPr>
                <w:sz w:val="28"/>
                <w:szCs w:val="28"/>
              </w:rPr>
              <w:t>:</w:t>
            </w:r>
          </w:p>
        </w:tc>
        <w:tc>
          <w:tcPr>
            <w:tcW w:w="6804" w:type="dxa"/>
            <w:shd w:val="clear" w:color="auto" w:fill="auto"/>
          </w:tcPr>
          <w:p w:rsidR="007C7C20" w:rsidRPr="007C7C20" w:rsidRDefault="007C7C20" w:rsidP="00647080">
            <w:pPr>
              <w:pStyle w:val="a3"/>
              <w:widowControl w:val="0"/>
              <w:jc w:val="both"/>
              <w:rPr>
                <w:rFonts w:ascii="Times New Roman" w:hAnsi="Times New Roman"/>
                <w:sz w:val="28"/>
                <w:szCs w:val="28"/>
              </w:rPr>
            </w:pPr>
            <w:r w:rsidRPr="007C7C20">
              <w:rPr>
                <w:rFonts w:ascii="Times New Roman" w:hAnsi="Times New Roman"/>
                <w:sz w:val="28"/>
                <w:szCs w:val="28"/>
              </w:rPr>
              <w:t>Цурко Алеся Вячеславовна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w:t>
            </w:r>
            <w:r w:rsidR="007C7C20" w:rsidRPr="007C7C20">
              <w:rPr>
                <w:rFonts w:ascii="Times New Roman" w:hAnsi="Times New Roman"/>
                <w:sz w:val="28"/>
                <w:szCs w:val="28"/>
              </w:rPr>
              <w:t xml:space="preserve"> +375 17</w:t>
            </w:r>
            <w:r w:rsidR="007C7C20">
              <w:rPr>
                <w:rFonts w:ascii="Times New Roman" w:hAnsi="Times New Roman"/>
                <w:sz w:val="28"/>
                <w:szCs w:val="28"/>
              </w:rPr>
              <w:t> </w:t>
            </w:r>
            <w:r w:rsidR="007C7C20" w:rsidRPr="007C7C20">
              <w:rPr>
                <w:rFonts w:ascii="Times New Roman" w:hAnsi="Times New Roman"/>
                <w:sz w:val="28"/>
                <w:szCs w:val="28"/>
              </w:rPr>
              <w:t>359</w:t>
            </w:r>
            <w:r w:rsidR="007C7C20">
              <w:rPr>
                <w:rFonts w:ascii="Times New Roman" w:hAnsi="Times New Roman"/>
                <w:sz w:val="28"/>
                <w:szCs w:val="28"/>
              </w:rPr>
              <w:t xml:space="preserve"> </w:t>
            </w:r>
            <w:r w:rsidR="007C7C20" w:rsidRPr="007C7C20">
              <w:rPr>
                <w:rFonts w:ascii="Times New Roman" w:hAnsi="Times New Roman"/>
                <w:sz w:val="28"/>
                <w:szCs w:val="28"/>
              </w:rPr>
              <w:t>92</w:t>
            </w:r>
            <w:r w:rsidR="007C7C20">
              <w:rPr>
                <w:rFonts w:ascii="Times New Roman" w:hAnsi="Times New Roman"/>
                <w:sz w:val="28"/>
                <w:szCs w:val="28"/>
              </w:rPr>
              <w:t xml:space="preserve"> </w:t>
            </w:r>
            <w:r w:rsidR="007C7C20" w:rsidRPr="007C7C20">
              <w:rPr>
                <w:rFonts w:ascii="Times New Roman" w:hAnsi="Times New Roman"/>
                <w:sz w:val="28"/>
                <w:szCs w:val="28"/>
              </w:rPr>
              <w:t>65</w:t>
            </w:r>
          </w:p>
        </w:tc>
      </w:tr>
      <w:tr w:rsidR="009A1D80" w:rsidRPr="004A1CE9" w:rsidTr="00F73C42">
        <w:trPr>
          <w:trHeight w:val="655"/>
        </w:trPr>
        <w:tc>
          <w:tcPr>
            <w:tcW w:w="3119"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r w:rsidR="003718D0">
              <w:rPr>
                <w:sz w:val="28"/>
                <w:szCs w:val="28"/>
              </w:rPr>
              <w:t>:</w:t>
            </w:r>
          </w:p>
        </w:tc>
        <w:tc>
          <w:tcPr>
            <w:tcW w:w="6804" w:type="dxa"/>
            <w:shd w:val="clear" w:color="auto" w:fill="auto"/>
            <w:vAlign w:val="center"/>
          </w:tcPr>
          <w:p w:rsidR="009A1D80" w:rsidRPr="004A1CE9" w:rsidRDefault="003718D0" w:rsidP="002967FE">
            <w:pPr>
              <w:pStyle w:val="a3"/>
              <w:widowControl w:val="0"/>
              <w:rPr>
                <w:rFonts w:ascii="Times New Roman" w:hAnsi="Times New Roman"/>
                <w:sz w:val="28"/>
                <w:szCs w:val="28"/>
              </w:rPr>
            </w:pPr>
            <w:r>
              <w:rPr>
                <w:rFonts w:ascii="Times New Roman" w:hAnsi="Times New Roman"/>
                <w:sz w:val="28"/>
                <w:szCs w:val="28"/>
              </w:rPr>
              <w:t>до 23 часов 59 минут 1</w:t>
            </w:r>
            <w:r w:rsidR="002967FE" w:rsidRPr="00390C51">
              <w:rPr>
                <w:rFonts w:ascii="Times New Roman" w:hAnsi="Times New Roman"/>
                <w:sz w:val="28"/>
                <w:szCs w:val="28"/>
              </w:rPr>
              <w:t>5</w:t>
            </w:r>
            <w:r>
              <w:rPr>
                <w:rFonts w:ascii="Times New Roman" w:hAnsi="Times New Roman"/>
                <w:sz w:val="28"/>
                <w:szCs w:val="28"/>
              </w:rPr>
              <w:t xml:space="preserve"> </w:t>
            </w:r>
            <w:r w:rsidR="007C7C20">
              <w:rPr>
                <w:rFonts w:ascii="Times New Roman" w:hAnsi="Times New Roman"/>
                <w:sz w:val="28"/>
                <w:szCs w:val="28"/>
              </w:rPr>
              <w:t>апреля</w:t>
            </w:r>
            <w:r>
              <w:rPr>
                <w:rFonts w:ascii="Times New Roman" w:hAnsi="Times New Roman"/>
                <w:sz w:val="28"/>
                <w:szCs w:val="28"/>
              </w:rPr>
              <w:t xml:space="preserve"> 2022</w:t>
            </w:r>
            <w:r w:rsidRPr="008F13D4">
              <w:rPr>
                <w:rFonts w:ascii="Times New Roman" w:hAnsi="Times New Roman"/>
                <w:sz w:val="28"/>
                <w:szCs w:val="28"/>
              </w:rPr>
              <w:t xml:space="preserve"> г.</w:t>
            </w:r>
          </w:p>
        </w:tc>
      </w:tr>
    </w:tbl>
    <w:p w:rsidR="006A5B69" w:rsidRPr="00B116A9" w:rsidRDefault="006A5B69" w:rsidP="006A5B69">
      <w:pPr>
        <w:ind w:firstLine="708"/>
        <w:jc w:val="both"/>
        <w:rPr>
          <w:sz w:val="28"/>
          <w:szCs w:val="28"/>
        </w:rPr>
      </w:pPr>
      <w:r w:rsidRPr="00B116A9">
        <w:rPr>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6A5B69" w:rsidRPr="00B116A9" w:rsidRDefault="006A5B69" w:rsidP="006A5B69">
      <w:pPr>
        <w:ind w:firstLine="708"/>
        <w:jc w:val="both"/>
        <w:rPr>
          <w:sz w:val="28"/>
          <w:szCs w:val="28"/>
        </w:rPr>
      </w:pPr>
      <w:r w:rsidRPr="00B116A9">
        <w:rPr>
          <w:sz w:val="28"/>
          <w:szCs w:val="28"/>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6A5B69" w:rsidRDefault="006A5B69" w:rsidP="006A5B69">
      <w:pPr>
        <w:ind w:firstLine="708"/>
        <w:jc w:val="both"/>
        <w:rPr>
          <w:sz w:val="28"/>
          <w:szCs w:val="28"/>
        </w:rPr>
      </w:pPr>
      <w:r w:rsidRPr="00B116A9">
        <w:rPr>
          <w:sz w:val="28"/>
          <w:szCs w:val="28"/>
        </w:rPr>
        <w:t>Заказчик вправе провести переговоры в устной и (или) письменной форме на предмет уменьшения цены, а, при необходимости, улучшения иных условий коммерческого предложения.</w:t>
      </w:r>
    </w:p>
    <w:p w:rsidR="006A5B69" w:rsidRDefault="006A5B69" w:rsidP="006A5B69">
      <w:pPr>
        <w:jc w:val="both"/>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C15436" w:rsidRDefault="00C15436" w:rsidP="00690AF5">
      <w:pPr>
        <w:jc w:val="right"/>
        <w:rPr>
          <w:sz w:val="28"/>
          <w:szCs w:val="28"/>
        </w:rPr>
      </w:pPr>
    </w:p>
    <w:p w:rsidR="00C15436" w:rsidRDefault="00C15436" w:rsidP="00690AF5">
      <w:pPr>
        <w:jc w:val="right"/>
        <w:rPr>
          <w:sz w:val="28"/>
          <w:szCs w:val="28"/>
        </w:rPr>
      </w:pPr>
    </w:p>
    <w:p w:rsidR="00C15436" w:rsidRDefault="00C15436" w:rsidP="00690AF5">
      <w:pPr>
        <w:jc w:val="right"/>
        <w:rPr>
          <w:sz w:val="28"/>
          <w:szCs w:val="28"/>
        </w:rPr>
      </w:pPr>
    </w:p>
    <w:p w:rsidR="00EE37E0" w:rsidRPr="003D1F94" w:rsidRDefault="00690AF5" w:rsidP="00690AF5">
      <w:pPr>
        <w:jc w:val="right"/>
        <w:rPr>
          <w:sz w:val="28"/>
          <w:szCs w:val="28"/>
        </w:rPr>
      </w:pPr>
      <w:r>
        <w:rPr>
          <w:sz w:val="28"/>
          <w:szCs w:val="28"/>
        </w:rPr>
        <w:lastRenderedPageBreak/>
        <w:t>Приложение № 1 к Приглашению</w:t>
      </w:r>
    </w:p>
    <w:p w:rsidR="00156DF7" w:rsidRDefault="00156DF7" w:rsidP="003A4987">
      <w:pPr>
        <w:jc w:val="both"/>
        <w:rPr>
          <w:sz w:val="28"/>
          <w:szCs w:val="28"/>
        </w:rPr>
      </w:pPr>
    </w:p>
    <w:p w:rsidR="00A66379" w:rsidRDefault="00A66379" w:rsidP="00A66379">
      <w:pPr>
        <w:jc w:val="center"/>
        <w:rPr>
          <w:b/>
          <w:sz w:val="28"/>
          <w:szCs w:val="28"/>
        </w:rPr>
      </w:pPr>
      <w:r w:rsidRPr="00A66379">
        <w:rPr>
          <w:b/>
          <w:sz w:val="28"/>
          <w:szCs w:val="28"/>
        </w:rPr>
        <w:t>Техническое задание для проведения внешней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p w:rsidR="00A66379" w:rsidRDefault="00A66379" w:rsidP="00A66379">
      <w:pPr>
        <w:jc w:val="center"/>
        <w:rPr>
          <w:b/>
          <w:sz w:val="28"/>
          <w:szCs w:val="28"/>
        </w:rPr>
      </w:pPr>
      <w:r w:rsidRPr="00A66379">
        <w:rPr>
          <w:b/>
          <w:sz w:val="28"/>
          <w:szCs w:val="28"/>
        </w:rPr>
        <w:t xml:space="preserve"> (минимальный набор критериев оценки)</w:t>
      </w:r>
    </w:p>
    <w:p w:rsidR="00A66379" w:rsidRPr="00A66379" w:rsidRDefault="00A66379" w:rsidP="00A66379">
      <w:pPr>
        <w:jc w:val="center"/>
        <w:rPr>
          <w:b/>
          <w:sz w:val="28"/>
          <w:szCs w:val="28"/>
          <w:u w:val="single"/>
        </w:rPr>
      </w:pPr>
    </w:p>
    <w:p w:rsidR="00A66379" w:rsidRDefault="00A66379" w:rsidP="00A66379">
      <w:pPr>
        <w:ind w:firstLine="709"/>
        <w:jc w:val="both"/>
        <w:rPr>
          <w:sz w:val="28"/>
          <w:szCs w:val="28"/>
        </w:rPr>
      </w:pPr>
      <w:r>
        <w:rPr>
          <w:b/>
          <w:sz w:val="28"/>
          <w:szCs w:val="28"/>
          <w:u w:val="single"/>
          <w:lang w:val="en-US"/>
        </w:rPr>
        <w:t>I</w:t>
      </w:r>
      <w:r>
        <w:rPr>
          <w:b/>
          <w:sz w:val="28"/>
          <w:szCs w:val="28"/>
          <w:u w:val="single"/>
        </w:rPr>
        <w:t>. Предмет</w:t>
      </w:r>
      <w:r>
        <w:rPr>
          <w:sz w:val="28"/>
          <w:szCs w:val="28"/>
        </w:rPr>
        <w:t>: Проведение проведения внешней независимой оценки эффективности корпоративного управления в ОАО «Сбер Банк», включая оценку эффективности деятельности Наблюдательного совета ОАО «Сбер Банк»</w:t>
      </w:r>
    </w:p>
    <w:p w:rsidR="00A66379" w:rsidRDefault="00A66379" w:rsidP="00A66379">
      <w:pPr>
        <w:ind w:firstLine="709"/>
        <w:jc w:val="both"/>
        <w:rPr>
          <w:sz w:val="28"/>
          <w:szCs w:val="28"/>
        </w:rPr>
      </w:pPr>
      <w:r>
        <w:rPr>
          <w:b/>
          <w:sz w:val="28"/>
          <w:szCs w:val="28"/>
          <w:u w:val="single"/>
          <w:lang w:val="en-US"/>
        </w:rPr>
        <w:t>II</w:t>
      </w:r>
      <w:r>
        <w:rPr>
          <w:b/>
          <w:sz w:val="28"/>
          <w:szCs w:val="28"/>
          <w:u w:val="single"/>
        </w:rPr>
        <w:t>. Сроки выполнения работы</w:t>
      </w:r>
      <w:r>
        <w:rPr>
          <w:sz w:val="28"/>
          <w:szCs w:val="28"/>
        </w:rPr>
        <w:t>: выполнение работы по настоящему техническому заданию осуществляется в один этап. Исполнитель проводит работы в срок не позднее 01.10.2022.</w:t>
      </w:r>
    </w:p>
    <w:p w:rsidR="00A66379" w:rsidRDefault="00A66379" w:rsidP="00A66379">
      <w:pPr>
        <w:ind w:firstLine="709"/>
        <w:jc w:val="both"/>
        <w:rPr>
          <w:sz w:val="28"/>
          <w:szCs w:val="28"/>
        </w:rPr>
      </w:pPr>
      <w:r>
        <w:rPr>
          <w:b/>
          <w:sz w:val="28"/>
          <w:szCs w:val="28"/>
          <w:u w:val="single"/>
          <w:lang w:val="en-US"/>
        </w:rPr>
        <w:t>III</w:t>
      </w:r>
      <w:r>
        <w:rPr>
          <w:b/>
          <w:sz w:val="28"/>
          <w:szCs w:val="28"/>
          <w:u w:val="single"/>
        </w:rPr>
        <w:t>. Цели и задачи</w:t>
      </w:r>
      <w:r>
        <w:rPr>
          <w:sz w:val="28"/>
          <w:szCs w:val="28"/>
        </w:rPr>
        <w:t>: анализ системы корпоративного управления Банка с позиций соответствия принципам и рекомендациям международной лучшей практики корпоративного управления в банках и национальным стандартам. Выявление приоритетных направлений совершенствования практики корпоративного управления Банка.</w:t>
      </w:r>
    </w:p>
    <w:p w:rsidR="00A66379" w:rsidRDefault="00A66379" w:rsidP="00A66379">
      <w:pPr>
        <w:ind w:firstLine="709"/>
        <w:jc w:val="both"/>
        <w:rPr>
          <w:sz w:val="28"/>
          <w:szCs w:val="28"/>
        </w:rPr>
      </w:pPr>
      <w:r>
        <w:rPr>
          <w:sz w:val="28"/>
          <w:szCs w:val="28"/>
        </w:rPr>
        <w:t>В рамках проведения работы для достижения указанных целей исполнитель должен обеспечить решение следующих аналитических задач:</w:t>
      </w:r>
      <w:r>
        <w:rPr>
          <w:sz w:val="28"/>
          <w:szCs w:val="28"/>
        </w:rPr>
        <w:br/>
        <w:t xml:space="preserve">          Исполнитель должен провести анализ соответствия структур и практики корпоративного управления Банка Принципам корпоративного управления для банков Базельского комитета по банковскому надзору (2015; далее - Принципы), за исключением Принципа 13, и национальным стандартам и представить результаты анализа в Отчете об оценке системы корпоративного управления (Отчет).</w:t>
      </w:r>
    </w:p>
    <w:p w:rsidR="00A66379" w:rsidRDefault="00A66379" w:rsidP="00A66379">
      <w:pPr>
        <w:ind w:firstLine="709"/>
        <w:jc w:val="both"/>
        <w:rPr>
          <w:sz w:val="28"/>
          <w:szCs w:val="28"/>
        </w:rPr>
      </w:pPr>
      <w:r>
        <w:rPr>
          <w:sz w:val="28"/>
          <w:szCs w:val="28"/>
        </w:rPr>
        <w:t>В частности, исполнитель должен представить свои наблюдения и рекомендации в отношении следующих аспектов корпоративного управления:</w:t>
      </w:r>
    </w:p>
    <w:p w:rsidR="00A66379" w:rsidRDefault="00A66379" w:rsidP="00A66379">
      <w:pPr>
        <w:ind w:firstLine="709"/>
        <w:jc w:val="both"/>
        <w:rPr>
          <w:sz w:val="28"/>
          <w:szCs w:val="28"/>
        </w:rPr>
      </w:pPr>
      <w:r>
        <w:rPr>
          <w:sz w:val="28"/>
          <w:szCs w:val="28"/>
        </w:rPr>
        <w:t>1) задачи и полномочия Наблюдательного совета банка, в частности, в следующих аспектах деятельности Банка:</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-определения стратегии и контроля за ее реализацией;</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системы корпоративного управления, корпоративных ценностей и культуры Банка;</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-противодействие неэтичным и противоправным действиям;</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-контроль над сделками со связанными сторонами;</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-система управления рисками;</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внутреннего контроля; </w:t>
      </w:r>
    </w:p>
    <w:p w:rsidR="00A66379" w:rsidRDefault="00A66379" w:rsidP="00A66379">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оценка достаточности капитала, планы по капиталу и ликвидности, </w:t>
      </w:r>
    </w:p>
    <w:p w:rsidR="00A66379" w:rsidRDefault="00A66379" w:rsidP="00A66379">
      <w:pPr>
        <w:ind w:firstLine="709"/>
        <w:jc w:val="both"/>
        <w:rPr>
          <w:sz w:val="28"/>
          <w:szCs w:val="28"/>
        </w:rPr>
      </w:pPr>
      <w:r>
        <w:rPr>
          <w:sz w:val="28"/>
          <w:szCs w:val="28"/>
        </w:rPr>
        <w:t>-кадровая политика и система мотивации исполнительного руководства Банка;</w:t>
      </w:r>
    </w:p>
    <w:p w:rsidR="00A66379" w:rsidRDefault="00A66379" w:rsidP="00A66379">
      <w:pPr>
        <w:ind w:firstLine="709"/>
        <w:jc w:val="both"/>
        <w:rPr>
          <w:sz w:val="28"/>
          <w:szCs w:val="28"/>
        </w:rPr>
      </w:pPr>
      <w:r>
        <w:rPr>
          <w:sz w:val="28"/>
          <w:szCs w:val="28"/>
        </w:rPr>
        <w:t>2) Состав и квалификация Наблюдательного совета Банка:</w:t>
      </w:r>
    </w:p>
    <w:p w:rsidR="00A66379" w:rsidRDefault="00A66379" w:rsidP="00A66379">
      <w:pPr>
        <w:tabs>
          <w:tab w:val="left" w:pos="8647"/>
        </w:tabs>
        <w:ind w:firstLine="709"/>
        <w:jc w:val="both"/>
        <w:rPr>
          <w:sz w:val="28"/>
          <w:szCs w:val="28"/>
        </w:rPr>
      </w:pPr>
      <w:r>
        <w:rPr>
          <w:sz w:val="28"/>
          <w:szCs w:val="28"/>
        </w:rPr>
        <w:t>-наличие достаточного количества независимых директоров;</w:t>
      </w:r>
    </w:p>
    <w:p w:rsidR="00A66379" w:rsidRDefault="00A66379" w:rsidP="00A66379">
      <w:pPr>
        <w:tabs>
          <w:tab w:val="left" w:pos="8647"/>
        </w:tabs>
        <w:ind w:firstLine="709"/>
        <w:jc w:val="both"/>
        <w:rPr>
          <w:sz w:val="28"/>
          <w:szCs w:val="28"/>
        </w:rPr>
      </w:pPr>
      <w:r>
        <w:rPr>
          <w:sz w:val="28"/>
          <w:szCs w:val="28"/>
        </w:rPr>
        <w:t>-наличие в составе Наблюдательного совета Банка директоров с опытом в ключевых профессиональных областях, актуальных для банковской деятельности в Республике Беларусь;</w:t>
      </w:r>
    </w:p>
    <w:p w:rsidR="00A66379" w:rsidRDefault="00A66379" w:rsidP="00A66379">
      <w:pPr>
        <w:tabs>
          <w:tab w:val="left" w:pos="8647"/>
        </w:tabs>
        <w:ind w:firstLine="709"/>
        <w:jc w:val="both"/>
        <w:rPr>
          <w:sz w:val="28"/>
          <w:szCs w:val="28"/>
        </w:rPr>
      </w:pPr>
      <w:r>
        <w:rPr>
          <w:sz w:val="28"/>
          <w:szCs w:val="28"/>
        </w:rPr>
        <w:lastRenderedPageBreak/>
        <w:t>-участие Наблюдательного совета Банка в процессе выдвижения кандидатов в этот орган;</w:t>
      </w:r>
    </w:p>
    <w:p w:rsidR="00A66379" w:rsidRDefault="00A66379" w:rsidP="00A66379">
      <w:pPr>
        <w:tabs>
          <w:tab w:val="left" w:pos="8647"/>
        </w:tabs>
        <w:ind w:firstLine="709"/>
        <w:jc w:val="both"/>
        <w:rPr>
          <w:sz w:val="28"/>
          <w:szCs w:val="28"/>
        </w:rPr>
      </w:pPr>
      <w:r>
        <w:rPr>
          <w:sz w:val="28"/>
          <w:szCs w:val="28"/>
        </w:rPr>
        <w:t>-наличие процедуры введения в должность директоров, впервые избранных в состав Наблюдательного совета Банка;</w:t>
      </w:r>
    </w:p>
    <w:p w:rsidR="00A66379" w:rsidRDefault="00A66379" w:rsidP="00A66379">
      <w:pPr>
        <w:ind w:firstLine="709"/>
        <w:jc w:val="both"/>
        <w:rPr>
          <w:sz w:val="28"/>
          <w:szCs w:val="28"/>
        </w:rPr>
      </w:pPr>
      <w:r>
        <w:rPr>
          <w:sz w:val="28"/>
          <w:szCs w:val="28"/>
        </w:rPr>
        <w:t>3) Структура и процедуры Наблюдательного совета Банка:</w:t>
      </w:r>
    </w:p>
    <w:p w:rsidR="00A66379" w:rsidRDefault="00A66379" w:rsidP="00A66379">
      <w:pPr>
        <w:ind w:firstLine="709"/>
        <w:jc w:val="both"/>
        <w:rPr>
          <w:sz w:val="28"/>
          <w:szCs w:val="28"/>
        </w:rPr>
      </w:pPr>
      <w:r>
        <w:rPr>
          <w:sz w:val="28"/>
          <w:szCs w:val="28"/>
        </w:rPr>
        <w:t>-наличие внутренних документов, подробным образом регламентирующих права и обязанности и практику работы Наблюдательного совета Банка;</w:t>
      </w:r>
    </w:p>
    <w:p w:rsidR="00A66379" w:rsidRDefault="00A66379" w:rsidP="00A66379">
      <w:pPr>
        <w:ind w:firstLine="709"/>
        <w:jc w:val="both"/>
        <w:rPr>
          <w:sz w:val="28"/>
          <w:szCs w:val="28"/>
        </w:rPr>
      </w:pPr>
      <w:r>
        <w:rPr>
          <w:sz w:val="28"/>
          <w:szCs w:val="28"/>
        </w:rPr>
        <w:t>-наличие процедур (само)оценки эффективности деятельности Наблюдательного совета Банка;</w:t>
      </w:r>
    </w:p>
    <w:p w:rsidR="00A66379" w:rsidRDefault="00A66379" w:rsidP="00A66379">
      <w:pPr>
        <w:ind w:firstLine="709"/>
        <w:jc w:val="both"/>
        <w:rPr>
          <w:sz w:val="28"/>
          <w:szCs w:val="28"/>
        </w:rPr>
      </w:pPr>
      <w:r>
        <w:rPr>
          <w:sz w:val="28"/>
          <w:szCs w:val="28"/>
        </w:rPr>
        <w:t>-наличие Председателя Наблюдательного совета Банка, не участвующего в исполнительном руководстве и обладающего должным опытом и знаниями в области корпоративного управления;</w:t>
      </w:r>
    </w:p>
    <w:p w:rsidR="00A66379" w:rsidRDefault="00A66379" w:rsidP="00A66379">
      <w:pPr>
        <w:ind w:firstLine="709"/>
        <w:jc w:val="both"/>
        <w:rPr>
          <w:sz w:val="28"/>
          <w:szCs w:val="28"/>
        </w:rPr>
      </w:pPr>
      <w:r>
        <w:rPr>
          <w:sz w:val="28"/>
          <w:szCs w:val="28"/>
        </w:rPr>
        <w:t>-наличие комитетов Наблюдательного совета Банка, способствующих эффективному выполнению советом возложенных на него задач, в частности, комитетов по аудиту, по рискам, по вознаграждениям, а также иных комитетов, отвечающих потребностям Наблюдательного совета Банка;</w:t>
      </w:r>
    </w:p>
    <w:p w:rsidR="00A66379" w:rsidRDefault="00A66379" w:rsidP="00A66379">
      <w:pPr>
        <w:ind w:firstLine="709"/>
        <w:jc w:val="both"/>
        <w:rPr>
          <w:sz w:val="28"/>
          <w:szCs w:val="28"/>
        </w:rPr>
      </w:pPr>
      <w:r>
        <w:rPr>
          <w:sz w:val="28"/>
          <w:szCs w:val="28"/>
        </w:rPr>
        <w:t>-наличие политики и механизмов управления конфликтами интересов, возникающими в ходе деятельности банка, в том числе у членов Наблюдательного совета Банка;</w:t>
      </w:r>
    </w:p>
    <w:p w:rsidR="00A66379" w:rsidRDefault="00A66379" w:rsidP="00A66379">
      <w:pPr>
        <w:ind w:firstLine="709"/>
        <w:jc w:val="both"/>
        <w:rPr>
          <w:sz w:val="28"/>
          <w:szCs w:val="28"/>
        </w:rPr>
      </w:pPr>
      <w:r>
        <w:rPr>
          <w:sz w:val="28"/>
          <w:szCs w:val="28"/>
        </w:rPr>
        <w:t xml:space="preserve">4) Исполнительное руководство Банка:  </w:t>
      </w:r>
    </w:p>
    <w:p w:rsidR="00A66379" w:rsidRDefault="00A66379" w:rsidP="00A66379">
      <w:pPr>
        <w:ind w:firstLine="709"/>
        <w:jc w:val="both"/>
        <w:rPr>
          <w:sz w:val="28"/>
          <w:szCs w:val="28"/>
        </w:rPr>
      </w:pPr>
      <w:r>
        <w:rPr>
          <w:sz w:val="28"/>
          <w:szCs w:val="28"/>
        </w:rPr>
        <w:t>-наличие четких и прозрачных механизмов делегирования и процедур принятия решений на уровне исполнительного руководства Банка;</w:t>
      </w:r>
    </w:p>
    <w:p w:rsidR="00A66379" w:rsidRDefault="00A66379" w:rsidP="00A66379">
      <w:pPr>
        <w:ind w:firstLine="709"/>
        <w:jc w:val="both"/>
        <w:rPr>
          <w:sz w:val="28"/>
          <w:szCs w:val="28"/>
        </w:rPr>
      </w:pPr>
      <w:r>
        <w:rPr>
          <w:sz w:val="28"/>
          <w:szCs w:val="28"/>
        </w:rPr>
        <w:t>-наличие эффективных механизмов подотчетности исполнительного руководства Наблюдательному совету Банка;</w:t>
      </w:r>
    </w:p>
    <w:p w:rsidR="00A66379" w:rsidRDefault="00A66379" w:rsidP="00A66379">
      <w:pPr>
        <w:ind w:firstLine="709"/>
        <w:jc w:val="both"/>
        <w:rPr>
          <w:sz w:val="28"/>
          <w:szCs w:val="28"/>
        </w:rPr>
      </w:pPr>
      <w:r>
        <w:rPr>
          <w:sz w:val="28"/>
          <w:szCs w:val="28"/>
        </w:rPr>
        <w:t xml:space="preserve">-наличие всеобъемлющих и независимых функций управления рисками, комплаенса, внутреннего аудита, а также системы внутреннего контроля; </w:t>
      </w:r>
    </w:p>
    <w:p w:rsidR="00A66379" w:rsidRDefault="00A66379" w:rsidP="00A66379">
      <w:pPr>
        <w:ind w:firstLine="709"/>
        <w:jc w:val="both"/>
        <w:rPr>
          <w:sz w:val="28"/>
          <w:szCs w:val="28"/>
        </w:rPr>
      </w:pPr>
      <w:r>
        <w:rPr>
          <w:sz w:val="28"/>
          <w:szCs w:val="28"/>
        </w:rPr>
        <w:t>5) Корпоративное управления в рамках группы:</w:t>
      </w:r>
    </w:p>
    <w:p w:rsidR="00A66379" w:rsidRDefault="00A66379" w:rsidP="00A66379">
      <w:pPr>
        <w:ind w:firstLine="709"/>
        <w:jc w:val="both"/>
        <w:rPr>
          <w:sz w:val="28"/>
          <w:szCs w:val="28"/>
        </w:rPr>
      </w:pPr>
      <w:r>
        <w:rPr>
          <w:sz w:val="28"/>
          <w:szCs w:val="28"/>
        </w:rPr>
        <w:t>-наличие у Наблюдательного совета материнской структуры консолидированного подхода к анализу рисков, показателей деятельности, а также наличие общегрупповых процедур внутреннего аудита и механизмов выявления конфликтов интересов;</w:t>
      </w:r>
    </w:p>
    <w:p w:rsidR="00A66379" w:rsidRDefault="00A66379" w:rsidP="00A66379">
      <w:pPr>
        <w:ind w:firstLine="709"/>
        <w:jc w:val="both"/>
        <w:rPr>
          <w:sz w:val="28"/>
          <w:szCs w:val="28"/>
        </w:rPr>
      </w:pPr>
      <w:r>
        <w:rPr>
          <w:sz w:val="28"/>
          <w:szCs w:val="28"/>
        </w:rPr>
        <w:t>-наличие надлежащих структур и процедур корпоративного управления в подконтрольных организациях</w:t>
      </w:r>
    </w:p>
    <w:p w:rsidR="00A66379" w:rsidRDefault="00A66379" w:rsidP="00A66379">
      <w:pPr>
        <w:ind w:firstLine="709"/>
        <w:jc w:val="both"/>
        <w:rPr>
          <w:sz w:val="28"/>
          <w:szCs w:val="28"/>
        </w:rPr>
      </w:pPr>
      <w:r>
        <w:rPr>
          <w:sz w:val="28"/>
          <w:szCs w:val="28"/>
        </w:rPr>
        <w:t>-юридическая структура группы понятна совету директоров (наблюдательному совету) и исполнительному руководству материнской организации и не создает препятствий для эффективного контроля за деятельностью дочерних организаций;</w:t>
      </w:r>
    </w:p>
    <w:p w:rsidR="00A66379" w:rsidRDefault="00A66379" w:rsidP="00A66379">
      <w:pPr>
        <w:ind w:firstLine="709"/>
        <w:jc w:val="both"/>
        <w:rPr>
          <w:sz w:val="28"/>
          <w:szCs w:val="28"/>
        </w:rPr>
      </w:pPr>
      <w:r>
        <w:rPr>
          <w:sz w:val="28"/>
          <w:szCs w:val="28"/>
        </w:rPr>
        <w:t xml:space="preserve">6) Функция управления рисками: </w:t>
      </w:r>
    </w:p>
    <w:p w:rsidR="00A66379" w:rsidRDefault="00A66379" w:rsidP="00A66379">
      <w:pPr>
        <w:ind w:firstLine="709"/>
        <w:jc w:val="both"/>
        <w:rPr>
          <w:sz w:val="28"/>
          <w:szCs w:val="28"/>
        </w:rPr>
      </w:pPr>
      <w:r>
        <w:rPr>
          <w:sz w:val="28"/>
          <w:szCs w:val="28"/>
        </w:rPr>
        <w:t>-наличие независимой функции управления рисками, осуществляющей контроль за операциями, связанными с принятием рисков в масштабах Банка, и имеющей необходимые полномочия и ресурсы для эффективной работы;</w:t>
      </w:r>
    </w:p>
    <w:p w:rsidR="00A66379" w:rsidRDefault="00A66379" w:rsidP="00A66379">
      <w:pPr>
        <w:ind w:firstLine="709"/>
        <w:jc w:val="both"/>
        <w:rPr>
          <w:sz w:val="28"/>
          <w:szCs w:val="28"/>
        </w:rPr>
      </w:pPr>
      <w:r>
        <w:rPr>
          <w:sz w:val="28"/>
          <w:szCs w:val="28"/>
        </w:rPr>
        <w:t>-наличие в исполнительном руководстве Банка лица, ответственного за функцию управления рисками в Банке (банковской группе). Назначение и отстранение от должности такого лица отнесено к полномочиям Наблюдательного совета Банка или Комитета по рискам Банка;</w:t>
      </w:r>
    </w:p>
    <w:p w:rsidR="00A66379" w:rsidRDefault="00A66379" w:rsidP="00A66379">
      <w:pPr>
        <w:ind w:firstLine="709"/>
        <w:jc w:val="both"/>
        <w:rPr>
          <w:sz w:val="28"/>
          <w:szCs w:val="28"/>
        </w:rPr>
      </w:pPr>
      <w:r>
        <w:rPr>
          <w:sz w:val="28"/>
          <w:szCs w:val="28"/>
        </w:rPr>
        <w:lastRenderedPageBreak/>
        <w:t>7) Выявление, мониторинг и контроль за рисками:</w:t>
      </w:r>
    </w:p>
    <w:p w:rsidR="00A66379" w:rsidRDefault="00A66379" w:rsidP="00A66379">
      <w:pPr>
        <w:ind w:firstLine="709"/>
        <w:jc w:val="both"/>
        <w:rPr>
          <w:sz w:val="28"/>
          <w:szCs w:val="28"/>
        </w:rPr>
      </w:pPr>
      <w:r>
        <w:rPr>
          <w:sz w:val="28"/>
          <w:szCs w:val="28"/>
        </w:rPr>
        <w:t>-процедуры выявления рисков в контексте Банка и банковской группы. Участие Наблюдательного совета Банка и высшего исполнительного руководства Банка в обсуждении отдельных рисков и общего профиля рисков Банка;</w:t>
      </w:r>
    </w:p>
    <w:p w:rsidR="00A66379" w:rsidRDefault="00A66379" w:rsidP="00A66379">
      <w:pPr>
        <w:ind w:firstLine="709"/>
        <w:jc w:val="both"/>
        <w:rPr>
          <w:sz w:val="28"/>
          <w:szCs w:val="28"/>
        </w:rPr>
      </w:pPr>
      <w:r>
        <w:rPr>
          <w:sz w:val="28"/>
          <w:szCs w:val="28"/>
        </w:rPr>
        <w:t>-соответствие уровня развития системы управления рисками операционной структуре и среде, профилю рисков и динамике развития Банка;</w:t>
      </w:r>
    </w:p>
    <w:p w:rsidR="00A66379" w:rsidRDefault="00A66379" w:rsidP="00A66379">
      <w:pPr>
        <w:ind w:firstLine="709"/>
        <w:jc w:val="both"/>
        <w:rPr>
          <w:sz w:val="28"/>
          <w:szCs w:val="28"/>
        </w:rPr>
      </w:pPr>
      <w:r>
        <w:rPr>
          <w:sz w:val="28"/>
          <w:szCs w:val="28"/>
        </w:rPr>
        <w:t>-нацеленность процедур внутреннего контроля на обеспечение достоверности информации о рисках и должном следовании принятым процедурам работниками Банка;</w:t>
      </w:r>
    </w:p>
    <w:p w:rsidR="00A66379" w:rsidRDefault="00A66379" w:rsidP="00A66379">
      <w:pPr>
        <w:ind w:firstLine="709"/>
        <w:jc w:val="both"/>
        <w:rPr>
          <w:sz w:val="28"/>
          <w:szCs w:val="28"/>
        </w:rPr>
      </w:pPr>
      <w:r>
        <w:rPr>
          <w:sz w:val="28"/>
          <w:szCs w:val="28"/>
        </w:rPr>
        <w:t>-наличие процедуры управления рисками в контексте принятие стратегических решений, таких как появлении новых продуктов или выход на новые рынки, крупных и сложных сделок;</w:t>
      </w:r>
    </w:p>
    <w:p w:rsidR="00A66379" w:rsidRDefault="00A66379" w:rsidP="00A66379">
      <w:pPr>
        <w:ind w:firstLine="709"/>
        <w:jc w:val="both"/>
        <w:rPr>
          <w:sz w:val="28"/>
          <w:szCs w:val="28"/>
        </w:rPr>
      </w:pPr>
      <w:r>
        <w:rPr>
          <w:sz w:val="28"/>
          <w:szCs w:val="28"/>
        </w:rPr>
        <w:t>8) Процесс передачи информации о рисках:</w:t>
      </w:r>
    </w:p>
    <w:p w:rsidR="00A66379" w:rsidRDefault="00A66379" w:rsidP="00A66379">
      <w:pPr>
        <w:ind w:firstLine="709"/>
        <w:jc w:val="both"/>
        <w:rPr>
          <w:sz w:val="28"/>
          <w:szCs w:val="28"/>
        </w:rPr>
      </w:pPr>
      <w:r>
        <w:rPr>
          <w:sz w:val="28"/>
          <w:szCs w:val="28"/>
        </w:rPr>
        <w:t>-наличие процедур передачи Наблюдательному совету и исполнительному руководству Банка своевременной, точной и ясной информации о рисках;</w:t>
      </w:r>
    </w:p>
    <w:p w:rsidR="00A66379" w:rsidRDefault="00A66379" w:rsidP="00A66379">
      <w:pPr>
        <w:ind w:firstLine="709"/>
        <w:jc w:val="both"/>
        <w:rPr>
          <w:sz w:val="28"/>
          <w:szCs w:val="28"/>
        </w:rPr>
      </w:pPr>
      <w:r>
        <w:rPr>
          <w:sz w:val="28"/>
          <w:szCs w:val="28"/>
        </w:rPr>
        <w:t xml:space="preserve">-наличие процедур и практики обмена информацией о рисках между отдельными функциями и подразделениями Банка; </w:t>
      </w:r>
    </w:p>
    <w:p w:rsidR="00A66379" w:rsidRDefault="00A66379" w:rsidP="00A66379">
      <w:pPr>
        <w:ind w:firstLine="709"/>
        <w:jc w:val="both"/>
        <w:rPr>
          <w:sz w:val="28"/>
          <w:szCs w:val="28"/>
        </w:rPr>
      </w:pPr>
      <w:r>
        <w:rPr>
          <w:sz w:val="28"/>
          <w:szCs w:val="28"/>
        </w:rPr>
        <w:t>9) Функция контроля за соблюдением нормативных требований (комплаенс):</w:t>
      </w:r>
    </w:p>
    <w:p w:rsidR="00A66379" w:rsidRDefault="00A66379" w:rsidP="00A66379">
      <w:pPr>
        <w:ind w:firstLine="709"/>
        <w:jc w:val="both"/>
        <w:rPr>
          <w:sz w:val="28"/>
          <w:szCs w:val="28"/>
        </w:rPr>
      </w:pPr>
      <w:r>
        <w:rPr>
          <w:sz w:val="28"/>
          <w:szCs w:val="28"/>
        </w:rPr>
        <w:t>-наличие независимой функции контроля за соблюдением требований закона, регулирования, внутренних политик и этики работы банка (комплаенса), располагающей должными ресурсами и полномочиями для эффективного выполнения своих задач;</w:t>
      </w:r>
    </w:p>
    <w:p w:rsidR="00A66379" w:rsidRDefault="00A66379" w:rsidP="00A66379">
      <w:pPr>
        <w:ind w:firstLine="709"/>
        <w:jc w:val="both"/>
        <w:rPr>
          <w:sz w:val="28"/>
          <w:szCs w:val="28"/>
        </w:rPr>
      </w:pPr>
      <w:r>
        <w:rPr>
          <w:sz w:val="28"/>
          <w:szCs w:val="28"/>
        </w:rPr>
        <w:t>-наличие внутреннего документа, регламентирующего деятельность функции комплаенса и утвержденного Наблюдательным советом банка</w:t>
      </w:r>
      <w:r>
        <w:rPr>
          <w:sz w:val="28"/>
          <w:szCs w:val="28"/>
        </w:rPr>
        <w:br/>
        <w:t xml:space="preserve">-наличие процедур и практики регулярной коммуникации между функцией  комплаенса, высшим исполнительным руководством и Наблюдательным советом Банка, позволяющих последним иметь актуальную информацию от данной функции; </w:t>
      </w:r>
    </w:p>
    <w:p w:rsidR="00A66379" w:rsidRDefault="00A66379" w:rsidP="00A66379">
      <w:pPr>
        <w:ind w:firstLine="709"/>
        <w:jc w:val="both"/>
        <w:rPr>
          <w:sz w:val="28"/>
          <w:szCs w:val="28"/>
        </w:rPr>
      </w:pPr>
      <w:r>
        <w:rPr>
          <w:sz w:val="28"/>
          <w:szCs w:val="28"/>
        </w:rPr>
        <w:t xml:space="preserve">10) Внутренний аудит: </w:t>
      </w:r>
    </w:p>
    <w:p w:rsidR="00A66379" w:rsidRDefault="00A66379" w:rsidP="00A66379">
      <w:pPr>
        <w:ind w:firstLine="709"/>
        <w:jc w:val="both"/>
        <w:rPr>
          <w:sz w:val="28"/>
          <w:szCs w:val="28"/>
        </w:rPr>
      </w:pPr>
      <w:r>
        <w:rPr>
          <w:sz w:val="28"/>
          <w:szCs w:val="28"/>
        </w:rPr>
        <w:t xml:space="preserve">-наличие функции внутреннего аудита, подотчетной Наблюдательному совету, и </w:t>
      </w:r>
      <w:r w:rsidR="00C15436">
        <w:rPr>
          <w:sz w:val="28"/>
          <w:szCs w:val="28"/>
        </w:rPr>
        <w:t>располагающей должными ресурсами,</w:t>
      </w:r>
      <w:r>
        <w:rPr>
          <w:sz w:val="28"/>
          <w:szCs w:val="28"/>
        </w:rPr>
        <w:t xml:space="preserve"> и полномочиями для эффективного выполнения своих задач; </w:t>
      </w:r>
    </w:p>
    <w:p w:rsidR="00A66379" w:rsidRDefault="00A66379" w:rsidP="00A66379">
      <w:pPr>
        <w:ind w:firstLine="709"/>
        <w:jc w:val="both"/>
        <w:rPr>
          <w:sz w:val="28"/>
          <w:szCs w:val="28"/>
        </w:rPr>
      </w:pPr>
      <w:r>
        <w:rPr>
          <w:sz w:val="28"/>
          <w:szCs w:val="28"/>
        </w:rPr>
        <w:t>-наличие процедур регулярной открытой коммуникации между функцией внутреннего аудита и Наблюдательным советом (или комитетом по аудиту);</w:t>
      </w:r>
    </w:p>
    <w:p w:rsidR="00A66379" w:rsidRDefault="00A66379" w:rsidP="00A66379">
      <w:pPr>
        <w:ind w:firstLine="709"/>
        <w:jc w:val="both"/>
        <w:rPr>
          <w:sz w:val="28"/>
          <w:szCs w:val="28"/>
        </w:rPr>
      </w:pPr>
      <w:r>
        <w:rPr>
          <w:sz w:val="28"/>
          <w:szCs w:val="28"/>
        </w:rPr>
        <w:t>-наличие у Наблюдательного совета Банка (или Аудиторского комитета Банка) полномочий по назначению, отстранению от должности и оценки деятельности руководителя функции внутреннего аудита;</w:t>
      </w:r>
    </w:p>
    <w:p w:rsidR="00A66379" w:rsidRDefault="00A66379" w:rsidP="00A66379">
      <w:pPr>
        <w:ind w:firstLine="709"/>
        <w:jc w:val="both"/>
        <w:rPr>
          <w:sz w:val="28"/>
          <w:szCs w:val="28"/>
        </w:rPr>
      </w:pPr>
      <w:r>
        <w:rPr>
          <w:sz w:val="28"/>
          <w:szCs w:val="28"/>
        </w:rPr>
        <w:t>11) Вознаграждение:</w:t>
      </w:r>
    </w:p>
    <w:p w:rsidR="00A66379" w:rsidRDefault="00A66379" w:rsidP="00A66379">
      <w:pPr>
        <w:ind w:firstLine="709"/>
        <w:jc w:val="both"/>
        <w:rPr>
          <w:sz w:val="28"/>
          <w:szCs w:val="28"/>
        </w:rPr>
      </w:pPr>
      <w:r>
        <w:rPr>
          <w:sz w:val="28"/>
          <w:szCs w:val="28"/>
        </w:rPr>
        <w:t>-наличие у Наблюдательного совета Банка (или Комитета по вознаграждениям Банка) полномочий по определению и надзору за внедрением системы вознаграждения менеджмента Банка;</w:t>
      </w:r>
    </w:p>
    <w:p w:rsidR="00A66379" w:rsidRDefault="00A66379" w:rsidP="00A66379">
      <w:pPr>
        <w:ind w:firstLine="709"/>
        <w:jc w:val="both"/>
        <w:rPr>
          <w:sz w:val="28"/>
          <w:szCs w:val="28"/>
        </w:rPr>
      </w:pPr>
      <w:r>
        <w:rPr>
          <w:sz w:val="28"/>
          <w:szCs w:val="28"/>
        </w:rPr>
        <w:t xml:space="preserve">-наличие у Наблюдательного совета Банка (или Комитета по вознаграждениям Банка) полномочий по утверждению вознаграждения высшего исполнительного руководства Банка; </w:t>
      </w:r>
    </w:p>
    <w:p w:rsidR="00A66379" w:rsidRDefault="00A66379" w:rsidP="00A66379">
      <w:pPr>
        <w:ind w:firstLine="709"/>
        <w:jc w:val="both"/>
        <w:rPr>
          <w:sz w:val="28"/>
          <w:szCs w:val="28"/>
        </w:rPr>
      </w:pPr>
      <w:r>
        <w:rPr>
          <w:sz w:val="28"/>
          <w:szCs w:val="28"/>
        </w:rPr>
        <w:lastRenderedPageBreak/>
        <w:t xml:space="preserve">-увязанность системы вознаграждения со стратегией, ценностями и параметрами риска Банка; </w:t>
      </w:r>
    </w:p>
    <w:p w:rsidR="00A66379" w:rsidRDefault="00A66379" w:rsidP="00A66379">
      <w:pPr>
        <w:ind w:firstLine="709"/>
        <w:jc w:val="both"/>
        <w:rPr>
          <w:sz w:val="28"/>
          <w:szCs w:val="28"/>
        </w:rPr>
      </w:pPr>
      <w:r>
        <w:rPr>
          <w:sz w:val="28"/>
          <w:szCs w:val="28"/>
        </w:rPr>
        <w:t xml:space="preserve">-нацеленность Банка на внедрение принципов вознаграждения Совета по финансовой стабильности и соблюдение национальных требований в этой области; </w:t>
      </w:r>
    </w:p>
    <w:p w:rsidR="00A66379" w:rsidRDefault="00A66379" w:rsidP="00A66379">
      <w:pPr>
        <w:ind w:firstLine="709"/>
        <w:jc w:val="both"/>
        <w:rPr>
          <w:sz w:val="28"/>
          <w:szCs w:val="28"/>
        </w:rPr>
      </w:pPr>
      <w:r>
        <w:rPr>
          <w:sz w:val="28"/>
          <w:szCs w:val="28"/>
        </w:rPr>
        <w:t xml:space="preserve">12) Раскрытие информации: </w:t>
      </w:r>
    </w:p>
    <w:p w:rsidR="00A66379" w:rsidRDefault="00A66379" w:rsidP="00A66379">
      <w:pPr>
        <w:ind w:firstLine="709"/>
        <w:jc w:val="both"/>
        <w:rPr>
          <w:sz w:val="28"/>
          <w:szCs w:val="28"/>
        </w:rPr>
      </w:pPr>
      <w:r>
        <w:rPr>
          <w:sz w:val="28"/>
          <w:szCs w:val="28"/>
        </w:rPr>
        <w:t>-раскрываемая банком информация о корпоративном управлении Банка включает, как минимум, информацию о структуре собственности, составе Наблюдательного совета Банка и его комитетов и их процедурах работы, положениях внутренних документов в части корпоративного управления, сделках со связанными сторонами, системе мотивации, системе управления рисками и рисках Банка (банковской группы);</w:t>
      </w:r>
    </w:p>
    <w:p w:rsidR="00A66379" w:rsidRDefault="00A66379" w:rsidP="00A66379">
      <w:pPr>
        <w:ind w:firstLine="709"/>
        <w:jc w:val="both"/>
        <w:rPr>
          <w:sz w:val="28"/>
          <w:szCs w:val="28"/>
        </w:rPr>
      </w:pPr>
      <w:r>
        <w:rPr>
          <w:sz w:val="28"/>
          <w:szCs w:val="28"/>
        </w:rPr>
        <w:t>-актуальная для внешних пользователей информация легко доступна и раскрывается своевременно.</w:t>
      </w:r>
    </w:p>
    <w:p w:rsidR="00A66379" w:rsidRDefault="00A66379" w:rsidP="00A66379">
      <w:pPr>
        <w:ind w:firstLine="709"/>
        <w:jc w:val="both"/>
        <w:rPr>
          <w:sz w:val="28"/>
          <w:szCs w:val="28"/>
        </w:rPr>
      </w:pPr>
      <w:r>
        <w:rPr>
          <w:b/>
          <w:sz w:val="28"/>
          <w:szCs w:val="28"/>
          <w:u w:val="single"/>
          <w:lang w:val="en-US"/>
        </w:rPr>
        <w:t>IV</w:t>
      </w:r>
      <w:r>
        <w:rPr>
          <w:b/>
          <w:sz w:val="28"/>
          <w:szCs w:val="28"/>
          <w:u w:val="single"/>
        </w:rPr>
        <w:t>. Результат выполняемой работы:</w:t>
      </w:r>
      <w:r>
        <w:rPr>
          <w:sz w:val="28"/>
          <w:szCs w:val="28"/>
        </w:rPr>
        <w:t xml:space="preserve"> Исполнитель должен представить комментарии о практике корпоративного управления Банка в разрезе каждой ключевой рекомендации, которые в совокупности детализируют и поясняют Принципы 1-12 в тексте данного документа. В случае частичного соответствия элементу лучшей практики корпоративного управления, обозначенному в отдельном пункте Принципов, исполнитель должен указать, в какой части отмечено несоответствие.</w:t>
      </w:r>
    </w:p>
    <w:p w:rsidR="00A66379" w:rsidRDefault="00A66379" w:rsidP="00A66379">
      <w:pPr>
        <w:ind w:firstLine="709"/>
        <w:jc w:val="both"/>
        <w:rPr>
          <w:sz w:val="28"/>
          <w:szCs w:val="28"/>
        </w:rPr>
      </w:pPr>
      <w:r>
        <w:rPr>
          <w:sz w:val="28"/>
          <w:szCs w:val="28"/>
        </w:rPr>
        <w:t>В случае, если конкретная рекомендация Принципов неприменима в силу действующего законодательства РБ или иных объективных институциональных причин, Исполнитель должен обозначить такое обстоятельство в Отчете и предложить альтернативные механизмы совершенствования корпоративного управления с учетом данных ограничений.</w:t>
      </w:r>
    </w:p>
    <w:p w:rsidR="00A66379" w:rsidRDefault="00A66379" w:rsidP="00A66379">
      <w:pPr>
        <w:ind w:firstLine="709"/>
        <w:jc w:val="both"/>
        <w:rPr>
          <w:sz w:val="28"/>
          <w:szCs w:val="28"/>
        </w:rPr>
      </w:pPr>
      <w:r>
        <w:rPr>
          <w:sz w:val="28"/>
          <w:szCs w:val="28"/>
        </w:rPr>
        <w:t xml:space="preserve">Исполнитель должен представить в тексте Отчета рекомендации в отношении приоритетных направлений по совершенствованию практики корпоративного управления Банка.  </w:t>
      </w:r>
    </w:p>
    <w:p w:rsidR="00A66379" w:rsidRDefault="00A66379" w:rsidP="00A66379">
      <w:pPr>
        <w:ind w:firstLine="709"/>
        <w:jc w:val="both"/>
        <w:rPr>
          <w:sz w:val="28"/>
          <w:szCs w:val="28"/>
        </w:rPr>
      </w:pPr>
      <w:r>
        <w:rPr>
          <w:b/>
          <w:sz w:val="28"/>
          <w:szCs w:val="28"/>
          <w:u w:val="single"/>
          <w:lang w:val="en-US"/>
        </w:rPr>
        <w:t>V</w:t>
      </w:r>
      <w:r>
        <w:rPr>
          <w:b/>
          <w:sz w:val="28"/>
          <w:szCs w:val="28"/>
          <w:u w:val="single"/>
        </w:rPr>
        <w:t xml:space="preserve">.Требования к выполняемой работе: </w:t>
      </w:r>
      <w:r>
        <w:rPr>
          <w:sz w:val="28"/>
          <w:szCs w:val="28"/>
        </w:rPr>
        <w:t xml:space="preserve">Выполнение работы осуществляется исполнителем с использованием собственного опыта и методики анализа и корпоративного управления, в том числе в странах СНГ. </w:t>
      </w:r>
    </w:p>
    <w:p w:rsidR="00A66379" w:rsidRDefault="00A66379" w:rsidP="00A66379">
      <w:pPr>
        <w:ind w:firstLine="708"/>
        <w:jc w:val="both"/>
        <w:rPr>
          <w:sz w:val="28"/>
          <w:szCs w:val="28"/>
        </w:rPr>
      </w:pPr>
      <w:r>
        <w:rPr>
          <w:sz w:val="28"/>
          <w:szCs w:val="28"/>
        </w:rPr>
        <w:t xml:space="preserve">Исполнитель должен определить перечень лиц (должностей) в органах управления и среди работников в Банке, с которыми ему необходимо провести встречи (интервью) в целях получения необходимой информации для полноценного анализа корпоративного управления. В такой перечень должны быть включены определенные исполнителем члены Наблюдательного совета и Правления Банка, а также иные лица, выполняющие ключевые функции в вопросах корпоративного управления, внутреннего аудита, управления рисками, контроля за соблюдением нормативных требований (комплаенса) Банка. </w:t>
      </w:r>
      <w:r>
        <w:rPr>
          <w:sz w:val="28"/>
          <w:szCs w:val="28"/>
        </w:rPr>
        <w:br/>
        <w:t xml:space="preserve">          Исполнитель должен согласовать с Банком дату, время и место проведения встречи (интервью) с каждым из интервьюируемых лиц и заблаговременно (как минимум за три рабочих дня) направить каждому интервьюируемому лицу повестку встречи.</w:t>
      </w:r>
    </w:p>
    <w:p w:rsidR="00A66379" w:rsidRDefault="00A66379" w:rsidP="00A66379">
      <w:pPr>
        <w:ind w:firstLine="709"/>
        <w:jc w:val="both"/>
        <w:rPr>
          <w:sz w:val="28"/>
          <w:szCs w:val="28"/>
        </w:rPr>
      </w:pPr>
      <w:r>
        <w:rPr>
          <w:sz w:val="28"/>
          <w:szCs w:val="28"/>
        </w:rPr>
        <w:lastRenderedPageBreak/>
        <w:t>Исполнитель должен определить перечень внутренних документов Банка, доступ к которым ему необходим в целях получения необходимой информации для полноценного анализа корпоративного управления банка. Помимо внутренних документов банка, Исполнитель вправе использовать в своем анализе информацию, представленную в любых документах Банка, находящихся в открытом доступе.</w:t>
      </w:r>
    </w:p>
    <w:p w:rsidR="00A66379" w:rsidRDefault="00A66379" w:rsidP="00A66379">
      <w:pPr>
        <w:ind w:firstLine="709"/>
        <w:jc w:val="both"/>
        <w:rPr>
          <w:sz w:val="28"/>
          <w:szCs w:val="28"/>
        </w:rPr>
      </w:pPr>
      <w:r>
        <w:rPr>
          <w:sz w:val="28"/>
          <w:szCs w:val="28"/>
        </w:rPr>
        <w:t xml:space="preserve">По завершении сбора и анализа информации, не позднее, чем за 10 календарных дней до согласованной даты окончания проекта, Исполнитель направляет банку предварительный отчет с тем, чтобы Банк смог убедиться в корректном отражении фактов и, в случае выявленных в отчете фактологических неточностей, указать на них исполнителю и представить подтверждающие документы или свидетельства. </w:t>
      </w:r>
    </w:p>
    <w:p w:rsidR="00A66379" w:rsidRDefault="00A66379" w:rsidP="00A66379">
      <w:pPr>
        <w:ind w:firstLine="709"/>
        <w:jc w:val="both"/>
        <w:rPr>
          <w:sz w:val="28"/>
          <w:szCs w:val="28"/>
        </w:rPr>
      </w:pPr>
      <w:r>
        <w:rPr>
          <w:b/>
          <w:sz w:val="28"/>
          <w:szCs w:val="28"/>
          <w:u w:val="single"/>
          <w:lang w:val="en-US"/>
        </w:rPr>
        <w:t>VI</w:t>
      </w:r>
      <w:r>
        <w:rPr>
          <w:b/>
          <w:sz w:val="28"/>
          <w:szCs w:val="28"/>
          <w:u w:val="single"/>
        </w:rPr>
        <w:t>.Требования к исполнителю:</w:t>
      </w:r>
      <w:r>
        <w:rPr>
          <w:sz w:val="28"/>
          <w:szCs w:val="28"/>
        </w:rPr>
        <w:t xml:space="preserve"> исполнитель должен соответствовать следующим требованиям:</w:t>
      </w:r>
    </w:p>
    <w:p w:rsidR="00A66379" w:rsidRDefault="00A66379" w:rsidP="00A66379">
      <w:pPr>
        <w:ind w:firstLine="709"/>
        <w:jc w:val="both"/>
        <w:rPr>
          <w:sz w:val="28"/>
          <w:szCs w:val="28"/>
        </w:rPr>
      </w:pPr>
      <w:r>
        <w:rPr>
          <w:sz w:val="28"/>
          <w:szCs w:val="28"/>
        </w:rPr>
        <w:t xml:space="preserve">-международная консалтинговая организация «Большой четверки», имеющая опыт оказания консультационных услуг в области корпоративного управления в юрисдикциях, являющихся мировыми финансовыми центрами, а также в странах СНГ; </w:t>
      </w:r>
    </w:p>
    <w:p w:rsidR="00A66379" w:rsidRDefault="00A66379" w:rsidP="00A66379">
      <w:pPr>
        <w:ind w:firstLine="709"/>
        <w:jc w:val="both"/>
        <w:rPr>
          <w:sz w:val="28"/>
          <w:szCs w:val="28"/>
        </w:rPr>
      </w:pPr>
      <w:r>
        <w:rPr>
          <w:sz w:val="28"/>
          <w:szCs w:val="28"/>
        </w:rPr>
        <w:t xml:space="preserve">-наличие опыта работы и постоянное присутствие в РБ в виде юридического лица. </w:t>
      </w:r>
    </w:p>
    <w:p w:rsidR="00A66379" w:rsidRDefault="00A66379" w:rsidP="00A66379">
      <w:pPr>
        <w:pStyle w:val="af2"/>
        <w:spacing w:before="0" w:beforeAutospacing="0" w:after="0" w:afterAutospacing="0"/>
        <w:ind w:firstLine="709"/>
        <w:jc w:val="both"/>
        <w:rPr>
          <w:sz w:val="28"/>
          <w:szCs w:val="28"/>
        </w:rPr>
      </w:pPr>
      <w:r>
        <w:rPr>
          <w:b/>
          <w:sz w:val="28"/>
          <w:szCs w:val="28"/>
          <w:u w:val="single"/>
          <w:lang w:val="en-US"/>
        </w:rPr>
        <w:t>VII</w:t>
      </w:r>
      <w:r>
        <w:rPr>
          <w:b/>
          <w:sz w:val="28"/>
          <w:szCs w:val="28"/>
          <w:u w:val="single"/>
        </w:rPr>
        <w:t>.Минимальные требования к проектной команде</w:t>
      </w:r>
      <w:r>
        <w:rPr>
          <w:sz w:val="28"/>
          <w:szCs w:val="28"/>
        </w:rPr>
        <w:t xml:space="preserve">: ключевые эксперты проектной команды должны обладать достаточным опытом </w:t>
      </w:r>
      <w:r>
        <w:rPr>
          <w:iCs/>
          <w:sz w:val="28"/>
          <w:szCs w:val="28"/>
        </w:rPr>
        <w:t xml:space="preserve">реализации проектов по анализу/оценке практики корпоративного управления, систем управления рисками и внутреннего контроля, функции внутреннего аудита для клиентов в странах СНГ, </w:t>
      </w:r>
      <w:r>
        <w:rPr>
          <w:sz w:val="28"/>
          <w:szCs w:val="28"/>
        </w:rPr>
        <w:t xml:space="preserve">знанием законодательства Республики Беларусь во всех указанных функциональных областях, практическим опытом </w:t>
      </w:r>
      <w:r>
        <w:rPr>
          <w:iCs/>
          <w:sz w:val="28"/>
          <w:szCs w:val="28"/>
        </w:rPr>
        <w:t xml:space="preserve">работы с банками-резидентами (или в таких банках),  а также </w:t>
      </w:r>
      <w:r>
        <w:rPr>
          <w:sz w:val="28"/>
          <w:szCs w:val="28"/>
        </w:rPr>
        <w:t xml:space="preserve">свободно владеть русским языком. </w:t>
      </w:r>
    </w:p>
    <w:p w:rsidR="00A66379" w:rsidRDefault="00A66379" w:rsidP="00A66379">
      <w:pPr>
        <w:ind w:firstLine="709"/>
        <w:jc w:val="both"/>
        <w:rPr>
          <w:sz w:val="28"/>
          <w:szCs w:val="28"/>
        </w:rPr>
      </w:pPr>
      <w:r>
        <w:rPr>
          <w:sz w:val="28"/>
          <w:szCs w:val="28"/>
        </w:rPr>
        <w:t xml:space="preserve">Для участия в проекте могут привлекаться иные эксперты (консультанты), имеющие опыт работы по указанным направлениями в странах ЕС и других юрисдикциях. </w:t>
      </w:r>
    </w:p>
    <w:p w:rsidR="00A66379" w:rsidRDefault="00A66379" w:rsidP="00A66379">
      <w:pPr>
        <w:pStyle w:val="af2"/>
        <w:spacing w:before="0" w:beforeAutospacing="0" w:after="0" w:afterAutospacing="0"/>
        <w:ind w:firstLine="709"/>
        <w:jc w:val="both"/>
        <w:rPr>
          <w:sz w:val="28"/>
          <w:szCs w:val="28"/>
        </w:rPr>
      </w:pPr>
    </w:p>
    <w:p w:rsidR="00A66379" w:rsidRDefault="00A66379" w:rsidP="00A66379">
      <w:pPr>
        <w:ind w:firstLine="709"/>
        <w:jc w:val="both"/>
        <w:rPr>
          <w:sz w:val="28"/>
          <w:szCs w:val="28"/>
        </w:rPr>
      </w:pPr>
    </w:p>
    <w:p w:rsidR="00A66379" w:rsidRDefault="00A66379" w:rsidP="00A66379">
      <w:pPr>
        <w:ind w:firstLine="709"/>
        <w:jc w:val="both"/>
        <w:rPr>
          <w:sz w:val="28"/>
          <w:szCs w:val="28"/>
        </w:rPr>
      </w:pPr>
    </w:p>
    <w:p w:rsidR="007F7C99" w:rsidRDefault="007F7C99" w:rsidP="00A66379">
      <w:pPr>
        <w:spacing w:after="200" w:line="276" w:lineRule="auto"/>
        <w:jc w:val="center"/>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690AF5" w:rsidRDefault="00690AF5">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690AF5" w:rsidRPr="00690AF5" w:rsidRDefault="00690AF5" w:rsidP="00690AF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lastRenderedPageBreak/>
        <w:t>Приложение № 2 к Приглашению</w:t>
      </w:r>
    </w:p>
    <w:p w:rsidR="00690AF5" w:rsidRDefault="00690AF5" w:rsidP="003A498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004B2271">
        <w:rPr>
          <w:sz w:val="28"/>
          <w:szCs w:val="28"/>
        </w:rPr>
        <w:t>22</w:t>
      </w:r>
      <w:r w:rsidRPr="00492D78">
        <w:rPr>
          <w:sz w:val="28"/>
          <w:szCs w:val="28"/>
        </w:rPr>
        <w:t xml:space="preserve"> г.</w:t>
      </w:r>
      <w:r w:rsidRPr="00492D78">
        <w:rPr>
          <w:sz w:val="28"/>
          <w:szCs w:val="28"/>
        </w:rPr>
        <w:tab/>
      </w:r>
      <w:r w:rsidRPr="00492D78">
        <w:rPr>
          <w:sz w:val="28"/>
          <w:szCs w:val="28"/>
        </w:rPr>
        <w:tab/>
        <w:t>___________</w:t>
      </w:r>
      <w:r w:rsidR="007040B2">
        <w:rPr>
          <w:sz w:val="28"/>
          <w:szCs w:val="28"/>
        </w:rPr>
        <w:t>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C15436" w:rsidP="00004FEF">
      <w:pPr>
        <w:ind w:firstLine="708"/>
        <w:jc w:val="right"/>
        <w:rPr>
          <w:sz w:val="28"/>
          <w:szCs w:val="28"/>
        </w:rPr>
      </w:pPr>
      <w:r>
        <w:rPr>
          <w:sz w:val="28"/>
          <w:szCs w:val="28"/>
        </w:rPr>
        <w:lastRenderedPageBreak/>
        <w:t>Приложение № 3</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w:t>
      </w:r>
      <w:r w:rsidRPr="00004FEF">
        <w:rPr>
          <w:iCs/>
          <w:sz w:val="28"/>
          <w:szCs w:val="28"/>
        </w:rPr>
        <w:lastRenderedPageBreak/>
        <w:t>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headerReference w:type="default" r:id="rId9"/>
      <w:footerReference w:type="default" r:id="rId1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4D" w:rsidRDefault="00D1294D" w:rsidP="004A5CF6">
      <w:r>
        <w:separator/>
      </w:r>
    </w:p>
  </w:endnote>
  <w:endnote w:type="continuationSeparator" w:id="0">
    <w:p w:rsidR="00D1294D" w:rsidRDefault="00D1294D"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2387"/>
      <w:docPartObj>
        <w:docPartGallery w:val="Page Numbers (Bottom of Page)"/>
        <w:docPartUnique/>
      </w:docPartObj>
    </w:sdtPr>
    <w:sdtEndPr/>
    <w:sdtContent>
      <w:p w:rsidR="00485979" w:rsidRDefault="00485979">
        <w:pPr>
          <w:pStyle w:val="a7"/>
          <w:jc w:val="right"/>
        </w:pPr>
        <w:r>
          <w:fldChar w:fldCharType="begin"/>
        </w:r>
        <w:r>
          <w:instrText>PAGE   \* MERGEFORMAT</w:instrText>
        </w:r>
        <w:r>
          <w:fldChar w:fldCharType="separate"/>
        </w:r>
        <w:r w:rsidR="00390C51">
          <w:rPr>
            <w:noProof/>
          </w:rPr>
          <w:t>1</w:t>
        </w:r>
        <w:r>
          <w:fldChar w:fldCharType="end"/>
        </w:r>
      </w:p>
    </w:sdtContent>
  </w:sdt>
  <w:p w:rsidR="00485979" w:rsidRDefault="0048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4D" w:rsidRDefault="00D1294D" w:rsidP="004A5CF6">
      <w:r>
        <w:separator/>
      </w:r>
    </w:p>
  </w:footnote>
  <w:footnote w:type="continuationSeparator" w:id="0">
    <w:p w:rsidR="00D1294D" w:rsidRDefault="00D1294D"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B5D00"/>
    <w:multiLevelType w:val="hybridMultilevel"/>
    <w:tmpl w:val="222A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66DFA"/>
    <w:multiLevelType w:val="hybridMultilevel"/>
    <w:tmpl w:val="EA14B4B8"/>
    <w:lvl w:ilvl="0" w:tplc="E228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C1052"/>
    <w:multiLevelType w:val="hybridMultilevel"/>
    <w:tmpl w:val="45A42D8E"/>
    <w:lvl w:ilvl="0" w:tplc="08B0C1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5"/>
  </w:num>
  <w:num w:numId="6">
    <w:abstractNumId w:val="7"/>
  </w:num>
  <w:num w:numId="7">
    <w:abstractNumId w:val="19"/>
  </w:num>
  <w:num w:numId="8">
    <w:abstractNumId w:val="8"/>
  </w:num>
  <w:num w:numId="9">
    <w:abstractNumId w:val="0"/>
  </w:num>
  <w:num w:numId="10">
    <w:abstractNumId w:val="12"/>
  </w:num>
  <w:num w:numId="11">
    <w:abstractNumId w:val="14"/>
  </w:num>
  <w:num w:numId="12">
    <w:abstractNumId w:val="16"/>
  </w:num>
  <w:num w:numId="13">
    <w:abstractNumId w:val="1"/>
  </w:num>
  <w:num w:numId="14">
    <w:abstractNumId w:val="13"/>
  </w:num>
  <w:num w:numId="15">
    <w:abstractNumId w:val="9"/>
  </w:num>
  <w:num w:numId="16">
    <w:abstractNumId w:val="20"/>
  </w:num>
  <w:num w:numId="17">
    <w:abstractNumId w:val="17"/>
  </w:num>
  <w:num w:numId="18">
    <w:abstractNumId w:val="22"/>
  </w:num>
  <w:num w:numId="19">
    <w:abstractNumId w:val="3"/>
  </w:num>
  <w:num w:numId="20">
    <w:abstractNumId w:val="2"/>
  </w:num>
  <w:num w:numId="21">
    <w:abstractNumId w:val="11"/>
  </w:num>
  <w:num w:numId="22">
    <w:abstractNumId w:val="5"/>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04FEF"/>
    <w:rsid w:val="00010788"/>
    <w:rsid w:val="000119BA"/>
    <w:rsid w:val="00054C4F"/>
    <w:rsid w:val="00062B60"/>
    <w:rsid w:val="000709B3"/>
    <w:rsid w:val="00081AD8"/>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5093"/>
    <w:rsid w:val="00156DF7"/>
    <w:rsid w:val="001703A0"/>
    <w:rsid w:val="00172824"/>
    <w:rsid w:val="00190254"/>
    <w:rsid w:val="001A0215"/>
    <w:rsid w:val="001B2CB6"/>
    <w:rsid w:val="001B6598"/>
    <w:rsid w:val="001C4478"/>
    <w:rsid w:val="00204DD3"/>
    <w:rsid w:val="002274C3"/>
    <w:rsid w:val="00237E76"/>
    <w:rsid w:val="00261EC3"/>
    <w:rsid w:val="00271235"/>
    <w:rsid w:val="0027535C"/>
    <w:rsid w:val="002967FE"/>
    <w:rsid w:val="00296BA2"/>
    <w:rsid w:val="002A4C2D"/>
    <w:rsid w:val="002B113E"/>
    <w:rsid w:val="002B1CFB"/>
    <w:rsid w:val="002B7895"/>
    <w:rsid w:val="002B7F61"/>
    <w:rsid w:val="002F0605"/>
    <w:rsid w:val="003049E8"/>
    <w:rsid w:val="00305708"/>
    <w:rsid w:val="00312569"/>
    <w:rsid w:val="003133B5"/>
    <w:rsid w:val="00315228"/>
    <w:rsid w:val="00336A12"/>
    <w:rsid w:val="00350D1A"/>
    <w:rsid w:val="003541EE"/>
    <w:rsid w:val="00354844"/>
    <w:rsid w:val="00356B18"/>
    <w:rsid w:val="00363E41"/>
    <w:rsid w:val="003718D0"/>
    <w:rsid w:val="00374B1E"/>
    <w:rsid w:val="00382167"/>
    <w:rsid w:val="003871D9"/>
    <w:rsid w:val="00390C51"/>
    <w:rsid w:val="00393088"/>
    <w:rsid w:val="003A4987"/>
    <w:rsid w:val="003B075C"/>
    <w:rsid w:val="003B4F64"/>
    <w:rsid w:val="003D1F94"/>
    <w:rsid w:val="003E2247"/>
    <w:rsid w:val="00400F10"/>
    <w:rsid w:val="004029DC"/>
    <w:rsid w:val="0041536E"/>
    <w:rsid w:val="00421F40"/>
    <w:rsid w:val="00426359"/>
    <w:rsid w:val="00431632"/>
    <w:rsid w:val="0043744A"/>
    <w:rsid w:val="004411F4"/>
    <w:rsid w:val="00445B72"/>
    <w:rsid w:val="00447A57"/>
    <w:rsid w:val="00467A99"/>
    <w:rsid w:val="00485979"/>
    <w:rsid w:val="00490441"/>
    <w:rsid w:val="004A1CBA"/>
    <w:rsid w:val="004A1CE9"/>
    <w:rsid w:val="004A5CF6"/>
    <w:rsid w:val="004B2271"/>
    <w:rsid w:val="004C0D35"/>
    <w:rsid w:val="004D202E"/>
    <w:rsid w:val="004E24DC"/>
    <w:rsid w:val="004F07FF"/>
    <w:rsid w:val="00510772"/>
    <w:rsid w:val="00513FB3"/>
    <w:rsid w:val="00520013"/>
    <w:rsid w:val="0053219B"/>
    <w:rsid w:val="00534229"/>
    <w:rsid w:val="00560696"/>
    <w:rsid w:val="00566D42"/>
    <w:rsid w:val="005A5534"/>
    <w:rsid w:val="005B121C"/>
    <w:rsid w:val="005B2458"/>
    <w:rsid w:val="005B6106"/>
    <w:rsid w:val="005B6B54"/>
    <w:rsid w:val="005B7FE2"/>
    <w:rsid w:val="005C7AFD"/>
    <w:rsid w:val="005D46CC"/>
    <w:rsid w:val="005D53D2"/>
    <w:rsid w:val="006032B9"/>
    <w:rsid w:val="00646ED8"/>
    <w:rsid w:val="00647080"/>
    <w:rsid w:val="00662DED"/>
    <w:rsid w:val="0067192F"/>
    <w:rsid w:val="006773AC"/>
    <w:rsid w:val="00681A41"/>
    <w:rsid w:val="006824EE"/>
    <w:rsid w:val="006866C2"/>
    <w:rsid w:val="00690AF5"/>
    <w:rsid w:val="00693D5D"/>
    <w:rsid w:val="006A5B69"/>
    <w:rsid w:val="006F11E1"/>
    <w:rsid w:val="007040B2"/>
    <w:rsid w:val="007045CD"/>
    <w:rsid w:val="00707D1B"/>
    <w:rsid w:val="00733E12"/>
    <w:rsid w:val="007369AE"/>
    <w:rsid w:val="00742312"/>
    <w:rsid w:val="00761C8A"/>
    <w:rsid w:val="0076578C"/>
    <w:rsid w:val="007729D6"/>
    <w:rsid w:val="00780C1B"/>
    <w:rsid w:val="0079157A"/>
    <w:rsid w:val="007B5D3A"/>
    <w:rsid w:val="007C3FC5"/>
    <w:rsid w:val="007C7A35"/>
    <w:rsid w:val="007C7C20"/>
    <w:rsid w:val="007D5349"/>
    <w:rsid w:val="007E3111"/>
    <w:rsid w:val="007F7C99"/>
    <w:rsid w:val="00804AF5"/>
    <w:rsid w:val="00871FB3"/>
    <w:rsid w:val="0087551A"/>
    <w:rsid w:val="008816A6"/>
    <w:rsid w:val="0088322C"/>
    <w:rsid w:val="0089190C"/>
    <w:rsid w:val="0089488E"/>
    <w:rsid w:val="008A0F22"/>
    <w:rsid w:val="008B2E19"/>
    <w:rsid w:val="008B36CB"/>
    <w:rsid w:val="008B4383"/>
    <w:rsid w:val="008B71E7"/>
    <w:rsid w:val="008C3150"/>
    <w:rsid w:val="008C6B35"/>
    <w:rsid w:val="008D288E"/>
    <w:rsid w:val="008E1340"/>
    <w:rsid w:val="008E469B"/>
    <w:rsid w:val="008F5319"/>
    <w:rsid w:val="008F7E12"/>
    <w:rsid w:val="0091283F"/>
    <w:rsid w:val="009135EE"/>
    <w:rsid w:val="00923037"/>
    <w:rsid w:val="009269C9"/>
    <w:rsid w:val="00926E45"/>
    <w:rsid w:val="00926E65"/>
    <w:rsid w:val="00930F57"/>
    <w:rsid w:val="00932367"/>
    <w:rsid w:val="009330BB"/>
    <w:rsid w:val="00933C9B"/>
    <w:rsid w:val="00952BAA"/>
    <w:rsid w:val="009673A9"/>
    <w:rsid w:val="00972B20"/>
    <w:rsid w:val="00992B90"/>
    <w:rsid w:val="009A1D80"/>
    <w:rsid w:val="009A3ABC"/>
    <w:rsid w:val="009A4BB2"/>
    <w:rsid w:val="009B7B5C"/>
    <w:rsid w:val="009C006C"/>
    <w:rsid w:val="009D0B3D"/>
    <w:rsid w:val="009D2163"/>
    <w:rsid w:val="00A12CA2"/>
    <w:rsid w:val="00A135DE"/>
    <w:rsid w:val="00A1461E"/>
    <w:rsid w:val="00A34C1A"/>
    <w:rsid w:val="00A441D8"/>
    <w:rsid w:val="00A46D8B"/>
    <w:rsid w:val="00A6418C"/>
    <w:rsid w:val="00A66379"/>
    <w:rsid w:val="00A71DF4"/>
    <w:rsid w:val="00A81D16"/>
    <w:rsid w:val="00A92FD2"/>
    <w:rsid w:val="00AA7402"/>
    <w:rsid w:val="00AC09F6"/>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195A"/>
    <w:rsid w:val="00B85F9A"/>
    <w:rsid w:val="00B87377"/>
    <w:rsid w:val="00B87B54"/>
    <w:rsid w:val="00B91DFE"/>
    <w:rsid w:val="00B973A0"/>
    <w:rsid w:val="00BA5274"/>
    <w:rsid w:val="00BA5D81"/>
    <w:rsid w:val="00BB131F"/>
    <w:rsid w:val="00BB6B74"/>
    <w:rsid w:val="00BC57B2"/>
    <w:rsid w:val="00BE0FCC"/>
    <w:rsid w:val="00C02EC9"/>
    <w:rsid w:val="00C038DF"/>
    <w:rsid w:val="00C15436"/>
    <w:rsid w:val="00C15EAC"/>
    <w:rsid w:val="00C249CD"/>
    <w:rsid w:val="00C667A8"/>
    <w:rsid w:val="00C94B94"/>
    <w:rsid w:val="00CC10DC"/>
    <w:rsid w:val="00CC3DF8"/>
    <w:rsid w:val="00CC4AD6"/>
    <w:rsid w:val="00CD1B35"/>
    <w:rsid w:val="00CE126C"/>
    <w:rsid w:val="00CF455D"/>
    <w:rsid w:val="00CF6967"/>
    <w:rsid w:val="00D00378"/>
    <w:rsid w:val="00D004AD"/>
    <w:rsid w:val="00D00745"/>
    <w:rsid w:val="00D00EBD"/>
    <w:rsid w:val="00D1294D"/>
    <w:rsid w:val="00D31E05"/>
    <w:rsid w:val="00D40E90"/>
    <w:rsid w:val="00D46422"/>
    <w:rsid w:val="00D561D8"/>
    <w:rsid w:val="00D93E23"/>
    <w:rsid w:val="00DA19C8"/>
    <w:rsid w:val="00DA44D1"/>
    <w:rsid w:val="00DC41C2"/>
    <w:rsid w:val="00DD5D06"/>
    <w:rsid w:val="00DE48E8"/>
    <w:rsid w:val="00E0682E"/>
    <w:rsid w:val="00E115C5"/>
    <w:rsid w:val="00E139D3"/>
    <w:rsid w:val="00E13F98"/>
    <w:rsid w:val="00E214B7"/>
    <w:rsid w:val="00E25FEC"/>
    <w:rsid w:val="00E31031"/>
    <w:rsid w:val="00E74DFF"/>
    <w:rsid w:val="00E77526"/>
    <w:rsid w:val="00E8274E"/>
    <w:rsid w:val="00E96995"/>
    <w:rsid w:val="00E97C3C"/>
    <w:rsid w:val="00EA35FD"/>
    <w:rsid w:val="00EA5A35"/>
    <w:rsid w:val="00EB08F0"/>
    <w:rsid w:val="00EB5DD7"/>
    <w:rsid w:val="00EB5DF5"/>
    <w:rsid w:val="00EC55C9"/>
    <w:rsid w:val="00ED2A97"/>
    <w:rsid w:val="00EE37E0"/>
    <w:rsid w:val="00EE4099"/>
    <w:rsid w:val="00EF5AA6"/>
    <w:rsid w:val="00EF6380"/>
    <w:rsid w:val="00F07F95"/>
    <w:rsid w:val="00F17BF6"/>
    <w:rsid w:val="00F208B7"/>
    <w:rsid w:val="00F304B8"/>
    <w:rsid w:val="00F3136C"/>
    <w:rsid w:val="00F357A0"/>
    <w:rsid w:val="00F42AF2"/>
    <w:rsid w:val="00F521F7"/>
    <w:rsid w:val="00F71B83"/>
    <w:rsid w:val="00F73C42"/>
    <w:rsid w:val="00F8606B"/>
    <w:rsid w:val="00F90B58"/>
    <w:rsid w:val="00FC56BE"/>
    <w:rsid w:val="00FC5E18"/>
    <w:rsid w:val="00FD390C"/>
    <w:rsid w:val="00FD4265"/>
    <w:rsid w:val="00FE5585"/>
    <w:rsid w:val="00FF0FDD"/>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EC8CC-F39C-4101-949C-3745DE0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uiPriority w:val="99"/>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 w:type="paragraph" w:styleId="af2">
    <w:name w:val="Normal (Web)"/>
    <w:basedOn w:val="a"/>
    <w:uiPriority w:val="99"/>
    <w:semiHidden/>
    <w:unhideWhenUsed/>
    <w:rsid w:val="00A663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24">
      <w:bodyDiv w:val="1"/>
      <w:marLeft w:val="0"/>
      <w:marRight w:val="0"/>
      <w:marTop w:val="0"/>
      <w:marBottom w:val="0"/>
      <w:divBdr>
        <w:top w:val="none" w:sz="0" w:space="0" w:color="auto"/>
        <w:left w:val="none" w:sz="0" w:space="0" w:color="auto"/>
        <w:bottom w:val="none" w:sz="0" w:space="0" w:color="auto"/>
        <w:right w:val="none" w:sz="0" w:space="0" w:color="auto"/>
      </w:divBdr>
    </w:div>
    <w:div w:id="580674999">
      <w:bodyDiv w:val="1"/>
      <w:marLeft w:val="0"/>
      <w:marRight w:val="0"/>
      <w:marTop w:val="0"/>
      <w:marBottom w:val="0"/>
      <w:divBdr>
        <w:top w:val="none" w:sz="0" w:space="0" w:color="auto"/>
        <w:left w:val="none" w:sz="0" w:space="0" w:color="auto"/>
        <w:bottom w:val="none" w:sz="0" w:space="0" w:color="auto"/>
        <w:right w:val="none" w:sz="0" w:space="0" w:color="auto"/>
      </w:divBdr>
    </w:div>
    <w:div w:id="1135874366">
      <w:bodyDiv w:val="1"/>
      <w:marLeft w:val="0"/>
      <w:marRight w:val="0"/>
      <w:marTop w:val="0"/>
      <w:marBottom w:val="0"/>
      <w:divBdr>
        <w:top w:val="none" w:sz="0" w:space="0" w:color="auto"/>
        <w:left w:val="none" w:sz="0" w:space="0" w:color="auto"/>
        <w:bottom w:val="none" w:sz="0" w:space="0" w:color="auto"/>
        <w:right w:val="none" w:sz="0" w:space="0" w:color="auto"/>
      </w:divBdr>
    </w:div>
    <w:div w:id="1419908912">
      <w:bodyDiv w:val="1"/>
      <w:marLeft w:val="0"/>
      <w:marRight w:val="0"/>
      <w:marTop w:val="0"/>
      <w:marBottom w:val="0"/>
      <w:divBdr>
        <w:top w:val="none" w:sz="0" w:space="0" w:color="auto"/>
        <w:left w:val="none" w:sz="0" w:space="0" w:color="auto"/>
        <w:bottom w:val="none" w:sz="0" w:space="0" w:color="auto"/>
        <w:right w:val="none" w:sz="0" w:space="0" w:color="auto"/>
      </w:divBdr>
    </w:div>
    <w:div w:id="1518888197">
      <w:bodyDiv w:val="1"/>
      <w:marLeft w:val="0"/>
      <w:marRight w:val="0"/>
      <w:marTop w:val="0"/>
      <w:marBottom w:val="0"/>
      <w:divBdr>
        <w:top w:val="none" w:sz="0" w:space="0" w:color="auto"/>
        <w:left w:val="none" w:sz="0" w:space="0" w:color="auto"/>
        <w:bottom w:val="none" w:sz="0" w:space="0" w:color="auto"/>
        <w:right w:val="none" w:sz="0" w:space="0" w:color="auto"/>
      </w:divBdr>
    </w:div>
    <w:div w:id="1906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3C89-26E2-4E37-9175-6E530E21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 Светлана</cp:lastModifiedBy>
  <cp:revision>2</cp:revision>
  <cp:lastPrinted>2019-08-07T09:23:00Z</cp:lastPrinted>
  <dcterms:created xsi:type="dcterms:W3CDTF">2022-04-12T07:01:00Z</dcterms:created>
  <dcterms:modified xsi:type="dcterms:W3CDTF">2022-04-12T07:01:00Z</dcterms:modified>
</cp:coreProperties>
</file>