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58" w:rsidRPr="00F84658" w:rsidRDefault="00F84658" w:rsidP="00F84658">
      <w:pPr>
        <w:pStyle w:val="ConsPlusTitle"/>
        <w:jc w:val="center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>ВЫРЕЗКА ИЗ БАНКОВСКОГО КОДЕКСА РЕСПУБЛИКИ БЕЛАРУСЬ</w:t>
      </w:r>
    </w:p>
    <w:p w:rsidR="00F84658" w:rsidRPr="008D407F" w:rsidRDefault="00F84658" w:rsidP="008D407F">
      <w:pPr>
        <w:pStyle w:val="ConsPlusTitle"/>
        <w:jc w:val="center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25 октября 2000 г.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441-З</w:t>
      </w:r>
    </w:p>
    <w:p w:rsidR="00F84658" w:rsidRDefault="00F84658" w:rsidP="00F84658">
      <w:pPr>
        <w:pStyle w:val="ConsPlusTitle"/>
        <w:jc w:val="center"/>
        <w:outlineLvl w:val="2"/>
        <w:rPr>
          <w:lang w:val="ru-RU"/>
        </w:rPr>
      </w:pPr>
    </w:p>
    <w:p w:rsidR="00F84658" w:rsidRDefault="00F84658" w:rsidP="00F84658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F84658">
        <w:rPr>
          <w:rFonts w:ascii="Times New Roman" w:eastAsiaTheme="minorEastAsia" w:hAnsi="Times New Roman" w:cs="Times New Roman"/>
          <w:b/>
          <w:bCs/>
          <w:sz w:val="20"/>
          <w:szCs w:val="20"/>
        </w:rPr>
        <w:t>ГЛАВА 15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</w:rPr>
        <w:t xml:space="preserve"> </w:t>
      </w:r>
    </w:p>
    <w:p w:rsidR="00F84658" w:rsidRPr="00F84658" w:rsidRDefault="00F84658" w:rsidP="00F84658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F84658">
        <w:rPr>
          <w:rFonts w:ascii="Times New Roman" w:eastAsiaTheme="minorEastAsia" w:hAnsi="Times New Roman" w:cs="Times New Roman"/>
          <w:b/>
          <w:bCs/>
          <w:sz w:val="20"/>
          <w:szCs w:val="20"/>
        </w:rPr>
        <w:t>ОБЕСПЕЧЕНИЕ СТАБИЛЬНОСТИ БАНКОВСКОЙ ДЕЯТЕЛЬНОСТИ. ЗАЩИТА ПРАВ И ИНТЕРЕСОВ ВКЛАДЧИКОВ И ИНЫХ КРЕДИТОРОВ БАНКА</w:t>
      </w:r>
    </w:p>
    <w:p w:rsidR="00F84658" w:rsidRPr="00F84658" w:rsidRDefault="00F84658" w:rsidP="00F84658">
      <w:pPr>
        <w:pStyle w:val="ConsPlusNormal"/>
        <w:spacing w:before="260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b/>
          <w:bCs/>
          <w:lang w:val="ru-RU"/>
        </w:rPr>
        <w:t>Статья 121. Банковская тайна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>Сведения, составляющие банковскую тайну, представляются банком: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бенефициару по договору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- в отношении денежных средств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права на которые принадлежат депоненту.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p w:rsidR="00F84658" w:rsidRPr="00F84658" w:rsidRDefault="00F84658" w:rsidP="00F84658">
      <w:p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</w:p>
    <w:p w:rsidR="00F84658" w:rsidRDefault="00F84658" w:rsidP="00F84658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F84658">
        <w:rPr>
          <w:rFonts w:ascii="Times New Roman" w:eastAsiaTheme="minorEastAsia" w:hAnsi="Times New Roman" w:cs="Times New Roman"/>
          <w:b/>
          <w:bCs/>
          <w:sz w:val="20"/>
          <w:szCs w:val="20"/>
        </w:rPr>
        <w:t>ГЛАВА 22</w:t>
      </w:r>
    </w:p>
    <w:p w:rsidR="00F84658" w:rsidRPr="00F84658" w:rsidRDefault="00F84658" w:rsidP="00F84658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F84658">
        <w:rPr>
          <w:rFonts w:ascii="Times New Roman" w:eastAsiaTheme="minorEastAsia" w:hAnsi="Times New Roman" w:cs="Times New Roman"/>
          <w:b/>
          <w:bCs/>
          <w:sz w:val="20"/>
          <w:szCs w:val="20"/>
        </w:rPr>
        <w:t>БАНКОВСКИЙ СЧЕТ</w:t>
      </w:r>
    </w:p>
    <w:p w:rsidR="00F84658" w:rsidRPr="00F84658" w:rsidRDefault="00F84658" w:rsidP="00F8465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b/>
          <w:bCs/>
          <w:lang w:val="ru-RU"/>
        </w:rPr>
        <w:t xml:space="preserve">Статья 210-1. Договор счета </w:t>
      </w:r>
      <w:proofErr w:type="spellStart"/>
      <w:r w:rsidRPr="00F84658">
        <w:rPr>
          <w:rFonts w:ascii="Times New Roman" w:hAnsi="Times New Roman" w:cs="Times New Roman"/>
          <w:b/>
          <w:bCs/>
          <w:lang w:val="ru-RU"/>
        </w:rPr>
        <w:t>эскроу</w:t>
      </w:r>
      <w:proofErr w:type="spellEnd"/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По договору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одна сторона (банк или небанковская кредитно-финансовая организация -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-агент) обязуется открыть другой стороне (владельцу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- депоненту) специальный счет (счет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) для учета и блокирования денежных средств, полученных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-агентом в целях передачи их третьей стороне (бенефициару) при наступлении определенных оснований, предусмотренных договором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Договор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представляет собой самостоятельное обязательство по отношению к обязательствам, вытекающим из договора купли-продажи или иного договора, в котором предусмотрено применение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На счет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, депонентом по которому являются юридическое лицо или индивидуальный предприниматель, зачисляются денежные средства, поступившие с открытых в банках и небанковских кредитно-финансовых организациях счетов, принадлежащих депоненту.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-агентам запрещается зачислять на такой счет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денежные средства, поступившие с открытых в банках и небанковских кредитно-финансовых организациях счетов иных юридических лиц и индивидуальных предпринимателей, а также физических лиц, не являющихся индивидуальными предпринимателями.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На счет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депонентом по которому является физическое лицо, зачисляются внесенные им наличные денежные средства и (или) денежные средства, внесенные им и (или) поступившие в его пользу в безналичном порядке.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Зачисление на счет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иных денежных средств депонента, за исключением депонируемой суммы, указанной в договоре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не допускается.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Проценты на денежные средства, находящиеся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не начисляются.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Депонент, бенефициар не вправе распоряжаться денежными средствами, находящимися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если иное не предусмотрено договором.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 может использовать находящиеся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денежные средства, гарантируя право депонента и бенефициара беспрепятственно распоряжаться этими средствами, если такое право предусмотрено договором. При этом условия уплаты вознаграждения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-агенту и его размер определяются в договоре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Права на денежные средства, находящиеся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до даты наступления оснований для передачи денежных средств бенефициару принадлежат депоненту, а с указанной даты - бенефициару.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b/>
          <w:bCs/>
          <w:lang w:val="ru-RU"/>
        </w:rPr>
        <w:t xml:space="preserve">Статья 210-2. Обязательства </w:t>
      </w:r>
      <w:proofErr w:type="spellStart"/>
      <w:r w:rsidRPr="00F84658">
        <w:rPr>
          <w:rFonts w:ascii="Times New Roman" w:hAnsi="Times New Roman" w:cs="Times New Roman"/>
          <w:b/>
          <w:bCs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b/>
          <w:bCs/>
          <w:lang w:val="ru-RU"/>
        </w:rPr>
        <w:t>-агента перед депонентом и бенефициаром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При наступлении оснований, предусмотренных договором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 в установленный </w:t>
      </w:r>
      <w:r w:rsidRPr="00F84658">
        <w:rPr>
          <w:rFonts w:ascii="Times New Roman" w:hAnsi="Times New Roman" w:cs="Times New Roman"/>
          <w:lang w:val="ru-RU"/>
        </w:rPr>
        <w:lastRenderedPageBreak/>
        <w:t>таким договором срок, а при его отсутствии - в течение пяти банковских дней со дня обращения бенефициара обязан выдать бенефициару депонируемую сумму или перечислить ее на указанный им счет.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Если договором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предусмотрена необходимость предъявления бенефициаром документов, подтверждающих наступление оснований для перечисления или выдачи ему денежных средств,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-агент обязан проверить их на соответствие условиям договора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и при наличии оснований полагать, что представленные документы являются недостоверными, воздержаться от перечисления или выдачи денежных средств, если иное не предусмотрено договором.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b/>
          <w:bCs/>
          <w:lang w:val="ru-RU"/>
        </w:rPr>
        <w:t xml:space="preserve">Статья 210-3. Вознаграждение </w:t>
      </w:r>
      <w:proofErr w:type="spellStart"/>
      <w:r w:rsidRPr="00F84658">
        <w:rPr>
          <w:rFonts w:ascii="Times New Roman" w:hAnsi="Times New Roman" w:cs="Times New Roman"/>
          <w:b/>
          <w:bCs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b/>
          <w:bCs/>
          <w:lang w:val="ru-RU"/>
        </w:rPr>
        <w:t>-агенту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Обязательство депонента и бенефициара по уплате вознаграждения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-агенту является солидарным, если иное не предусмотрено договором.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-агент не вправе засчитывать или удерживать депонируемую сумму в счет уплаты или обеспечения уплаты своего вознаграждения, если иное не предусмотрено договором.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b/>
          <w:bCs/>
          <w:lang w:val="ru-RU"/>
        </w:rPr>
        <w:t xml:space="preserve">Статья 210-4. Особенности обращения взыскания на денежные средства, находящиеся на счете </w:t>
      </w:r>
      <w:proofErr w:type="spellStart"/>
      <w:r w:rsidRPr="00F84658">
        <w:rPr>
          <w:rFonts w:ascii="Times New Roman" w:hAnsi="Times New Roman" w:cs="Times New Roman"/>
          <w:b/>
          <w:bCs/>
          <w:lang w:val="ru-RU"/>
        </w:rPr>
        <w:t>эскроу</w:t>
      </w:r>
      <w:proofErr w:type="spellEnd"/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Приостановление операций по счету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, наложение ареста и обращение взыскания на денежные средства, находящиеся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по обязательствам депонента перед третьими лицами и по обязательствам бенефициара не допускаются.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Требования, указанные в части первой настоящей статьи, не распространяются на случаи, когда обращение взыскания на денежные средства, находящиеся на счете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, производится по исполнительному документу, вид взыскания по которому соответствует целевому назначению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, а также на случаи, предусмотренные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поражения.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b/>
          <w:bCs/>
          <w:lang w:val="ru-RU"/>
        </w:rPr>
        <w:t xml:space="preserve">Статья 210-5. Закрытие счета </w:t>
      </w:r>
      <w:proofErr w:type="spellStart"/>
      <w:r w:rsidRPr="00F84658">
        <w:rPr>
          <w:rFonts w:ascii="Times New Roman" w:hAnsi="Times New Roman" w:cs="Times New Roman"/>
          <w:b/>
          <w:bCs/>
          <w:lang w:val="ru-RU"/>
        </w:rPr>
        <w:t>эскроу</w:t>
      </w:r>
      <w:proofErr w:type="spellEnd"/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p w:rsidR="00F84658" w:rsidRPr="00F84658" w:rsidRDefault="00F84658" w:rsidP="00F84658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Закрытие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осуществляется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-агентом: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по истечении срока действия или в связи с прекращением по иным основаниям договора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;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в иных случаях, предусмотренных законодательными актами и (или) договором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>.</w:t>
      </w:r>
    </w:p>
    <w:p w:rsidR="00F84658" w:rsidRPr="00F84658" w:rsidRDefault="00F84658" w:rsidP="00F8465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При расторжении договора счета </w:t>
      </w:r>
      <w:proofErr w:type="spellStart"/>
      <w:r w:rsidRPr="00F84658">
        <w:rPr>
          <w:rFonts w:ascii="Times New Roman" w:hAnsi="Times New Roman" w:cs="Times New Roman"/>
          <w:lang w:val="ru-RU"/>
        </w:rPr>
        <w:t>эскроу</w:t>
      </w:r>
      <w:proofErr w:type="spellEnd"/>
      <w:r w:rsidRPr="00F84658">
        <w:rPr>
          <w:rFonts w:ascii="Times New Roman" w:hAnsi="Times New Roman" w:cs="Times New Roman"/>
          <w:lang w:val="ru-RU"/>
        </w:rPr>
        <w:t xml:space="preserve"> остаток денежных средств перечисляется или выдается депоненту либо при наличии оснований для передачи денежных средств бенефициару перечисляется или выдается бенефициару.</w:t>
      </w:r>
    </w:p>
    <w:p w:rsidR="00D871F3" w:rsidRDefault="00D871F3">
      <w:pPr>
        <w:rPr>
          <w:rFonts w:ascii="Times New Roman" w:hAnsi="Times New Roman" w:cs="Times New Roman"/>
        </w:rPr>
      </w:pPr>
    </w:p>
    <w:p w:rsidR="008D407F" w:rsidRDefault="008D407F">
      <w:pPr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</w:p>
    <w:p w:rsidR="008D407F" w:rsidRPr="00F84658" w:rsidRDefault="008D407F" w:rsidP="008D407F">
      <w:pPr>
        <w:pStyle w:val="ConsPlusTitle"/>
        <w:jc w:val="center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lastRenderedPageBreak/>
        <w:t xml:space="preserve">ВЫРЕЗКА ИЗ </w:t>
      </w:r>
      <w:r>
        <w:rPr>
          <w:rFonts w:ascii="Times New Roman" w:hAnsi="Times New Roman" w:cs="Times New Roman"/>
          <w:lang w:val="ru-RU"/>
        </w:rPr>
        <w:t xml:space="preserve">ГРАЖДАНСКОГО </w:t>
      </w:r>
      <w:r w:rsidRPr="00F84658">
        <w:rPr>
          <w:rFonts w:ascii="Times New Roman" w:hAnsi="Times New Roman" w:cs="Times New Roman"/>
          <w:lang w:val="ru-RU"/>
        </w:rPr>
        <w:t>КОДЕКС</w:t>
      </w:r>
      <w:bookmarkStart w:id="0" w:name="_GoBack"/>
      <w:bookmarkEnd w:id="0"/>
      <w:r w:rsidRPr="00F84658">
        <w:rPr>
          <w:rFonts w:ascii="Times New Roman" w:hAnsi="Times New Roman" w:cs="Times New Roman"/>
          <w:lang w:val="ru-RU"/>
        </w:rPr>
        <w:t>А РЕСПУБЛИКИ БЕЛАРУСЬ</w:t>
      </w:r>
    </w:p>
    <w:p w:rsidR="008D407F" w:rsidRPr="00F84658" w:rsidRDefault="008D407F" w:rsidP="008D407F">
      <w:pPr>
        <w:pStyle w:val="ConsPlusTitle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 </w:t>
      </w:r>
      <w:r w:rsidRPr="008D407F">
        <w:rPr>
          <w:rFonts w:ascii="Times New Roman" w:hAnsi="Times New Roman" w:cs="Times New Roman"/>
          <w:lang w:val="ru-RU"/>
        </w:rPr>
        <w:t>декабря 1998 г. N 218-З</w:t>
      </w:r>
    </w:p>
    <w:p w:rsidR="008D407F" w:rsidRDefault="008D407F">
      <w:pPr>
        <w:rPr>
          <w:rFonts w:ascii="Times New Roman" w:hAnsi="Times New Roman" w:cs="Times New Roman"/>
        </w:rPr>
      </w:pPr>
    </w:p>
    <w:p w:rsidR="008D407F" w:rsidRPr="008D407F" w:rsidRDefault="008D407F" w:rsidP="008D407F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8D407F">
        <w:rPr>
          <w:rFonts w:ascii="Times New Roman" w:eastAsiaTheme="minorEastAsia" w:hAnsi="Times New Roman" w:cs="Times New Roman"/>
          <w:b/>
          <w:bCs/>
          <w:sz w:val="20"/>
          <w:szCs w:val="20"/>
        </w:rPr>
        <w:t>ГЛАВА 45</w:t>
      </w:r>
    </w:p>
    <w:p w:rsidR="008D407F" w:rsidRPr="008D407F" w:rsidRDefault="008D407F" w:rsidP="008D407F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8D407F">
        <w:rPr>
          <w:rFonts w:ascii="Times New Roman" w:eastAsiaTheme="minorEastAsia" w:hAnsi="Times New Roman" w:cs="Times New Roman"/>
          <w:b/>
          <w:bCs/>
          <w:sz w:val="20"/>
          <w:szCs w:val="20"/>
        </w:rPr>
        <w:t>ДОГОВОР ТЕКУЩЕГО (РАСЧЕТНОГО) БАНКОВСКОГО СЧЕТА. ДОГОВОР СЧЕТА ЭСКРОУ</w:t>
      </w:r>
    </w:p>
    <w:p w:rsidR="008D407F" w:rsidRPr="008D407F" w:rsidRDefault="008D407F" w:rsidP="008D407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bCs/>
          <w:lang w:val="ru-RU"/>
        </w:rPr>
      </w:pPr>
      <w:r w:rsidRPr="008D407F">
        <w:rPr>
          <w:rFonts w:ascii="Times New Roman" w:hAnsi="Times New Roman" w:cs="Times New Roman"/>
          <w:b/>
          <w:bCs/>
          <w:lang w:val="ru-RU"/>
        </w:rPr>
        <w:t>Статья 774-1. Договор счета </w:t>
      </w:r>
      <w:proofErr w:type="spellStart"/>
      <w:r w:rsidRPr="008D407F">
        <w:rPr>
          <w:rFonts w:ascii="Times New Roman" w:hAnsi="Times New Roman" w:cs="Times New Roman"/>
          <w:b/>
          <w:bCs/>
          <w:lang w:val="ru-RU"/>
        </w:rPr>
        <w:t>эскроу</w:t>
      </w:r>
      <w:proofErr w:type="spellEnd"/>
    </w:p>
    <w:p w:rsidR="008D407F" w:rsidRPr="008D407F" w:rsidRDefault="008D407F" w:rsidP="008D407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>(введена Законом Республики Беларусь от 13.11.2023 N 312-З)</w:t>
      </w:r>
      <w:r w:rsidRPr="008D407F">
        <w:rPr>
          <w:rFonts w:ascii="Times New Roman" w:hAnsi="Times New Roman" w:cs="Times New Roman"/>
          <w:lang w:val="ru-RU"/>
        </w:rPr>
        <w:t> </w:t>
      </w:r>
    </w:p>
    <w:p w:rsidR="008D407F" w:rsidRP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 xml:space="preserve">1. По договору счета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 одна сторона (банк или небанковская кредитно-финансовая организация -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-агент) обязуется открыть другой стороне (владельцу счета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 - депоненту) специальный счет (счет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) для учета и блокирования денежных средств, полученных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-агентом в целях передачи их третьей стороне (бенефициару) при наступлении определенных оснований, предусмотренных договором счета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>.</w:t>
      </w:r>
    </w:p>
    <w:p w:rsidR="008D407F" w:rsidRP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 xml:space="preserve">2. Договор счета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 представляет собой самостоятельное обязательство по отношению к обязательствам, вытекающим из договора купли-продажи или иного договора, которым предусмотрено применение счета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>.</w:t>
      </w:r>
    </w:p>
    <w:p w:rsidR="008D407F" w:rsidRP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 xml:space="preserve">3. Денежные средства для зачисления их на счет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 xml:space="preserve"> вносятся в безналичном порядке и (или) наличными денежными средствами в соответствии с банковским законодательством.</w:t>
      </w:r>
    </w:p>
    <w:p w:rsidR="008D407F" w:rsidRP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 xml:space="preserve">4. Права на денежные средства, находящиеся на счете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>, до даты наступления оснований для передачи денежных средств бенефициару принадлежат депоненту, а с указанной даты - бенефициару.</w:t>
      </w:r>
    </w:p>
    <w:p w:rsidR="008D407F" w:rsidRDefault="008D407F" w:rsidP="008D407F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bCs/>
          <w:color w:val="242424"/>
          <w:sz w:val="30"/>
          <w:szCs w:val="30"/>
        </w:rPr>
      </w:pPr>
    </w:p>
    <w:p w:rsidR="008D407F" w:rsidRPr="008D407F" w:rsidRDefault="008D407F" w:rsidP="008D407F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8D407F">
        <w:rPr>
          <w:rFonts w:ascii="Times New Roman" w:eastAsiaTheme="minorEastAsia" w:hAnsi="Times New Roman" w:cs="Times New Roman"/>
          <w:b/>
          <w:bCs/>
          <w:sz w:val="20"/>
          <w:szCs w:val="20"/>
        </w:rPr>
        <w:t>ГЛАВА 75</w:t>
      </w:r>
    </w:p>
    <w:p w:rsidR="008D407F" w:rsidRPr="008D407F" w:rsidRDefault="008D407F" w:rsidP="008D407F">
      <w:pPr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 w:rsidRPr="008D407F">
        <w:rPr>
          <w:rFonts w:ascii="Times New Roman" w:eastAsiaTheme="minorEastAsia" w:hAnsi="Times New Roman" w:cs="Times New Roman"/>
          <w:b/>
          <w:bCs/>
          <w:sz w:val="20"/>
          <w:szCs w:val="20"/>
        </w:rPr>
        <w:t>КОЛЛИЗИОННЫЕ НОРМЫ</w:t>
      </w:r>
    </w:p>
    <w:p w:rsidR="008D407F" w:rsidRP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bCs/>
          <w:lang w:val="ru-RU"/>
        </w:rPr>
      </w:pPr>
      <w:r w:rsidRPr="008D407F">
        <w:rPr>
          <w:rFonts w:ascii="Times New Roman" w:hAnsi="Times New Roman" w:cs="Times New Roman"/>
          <w:b/>
          <w:bCs/>
          <w:lang w:val="ru-RU"/>
        </w:rPr>
        <w:t>Статья 1125. Право, подлежащее применению к договору</w:t>
      </w:r>
    </w:p>
    <w:p w:rsidR="008D407F" w:rsidRP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>1. Если иное не предусмотрено настоящим Кодексом или иными законодательными актами Республики Беларусь, при отсутствии соглашения сторон договора о подлежащем применению праве к договору применяется право страны, где на момент заключения договора находятся место жительства или основное место деятельности стороны, являющейся:</w:t>
      </w:r>
    </w:p>
    <w:p w:rsid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…</w:t>
      </w:r>
    </w:p>
    <w:p w:rsidR="008D407F" w:rsidRDefault="008D407F" w:rsidP="008D407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lang w:val="ru-RU"/>
        </w:rPr>
      </w:pPr>
      <w:r w:rsidRPr="008D407F">
        <w:rPr>
          <w:rFonts w:ascii="Times New Roman" w:hAnsi="Times New Roman" w:cs="Times New Roman"/>
          <w:lang w:val="ru-RU"/>
        </w:rPr>
        <w:t xml:space="preserve">14) банком (небанковской кредитно-финансовой организацией) - в договоре текущего (расчетного) банковского счета и договоре счета </w:t>
      </w:r>
      <w:proofErr w:type="spellStart"/>
      <w:r w:rsidRPr="008D407F">
        <w:rPr>
          <w:rFonts w:ascii="Times New Roman" w:hAnsi="Times New Roman" w:cs="Times New Roman"/>
          <w:lang w:val="ru-RU"/>
        </w:rPr>
        <w:t>эскроу</w:t>
      </w:r>
      <w:proofErr w:type="spellEnd"/>
      <w:r w:rsidRPr="008D407F">
        <w:rPr>
          <w:rFonts w:ascii="Times New Roman" w:hAnsi="Times New Roman" w:cs="Times New Roman"/>
          <w:lang w:val="ru-RU"/>
        </w:rPr>
        <w:t>;</w:t>
      </w:r>
    </w:p>
    <w:p w:rsidR="008D407F" w:rsidRPr="008D407F" w:rsidRDefault="008D407F" w:rsidP="008D407F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lang w:val="ru-RU"/>
        </w:rPr>
      </w:pPr>
      <w:r w:rsidRPr="00F84658">
        <w:rPr>
          <w:rFonts w:ascii="Times New Roman" w:hAnsi="Times New Roman" w:cs="Times New Roman"/>
          <w:lang w:val="ru-RU"/>
        </w:rPr>
        <w:t xml:space="preserve">(введена Законом Республики Беларусь от 13.11.2023 </w:t>
      </w:r>
      <w:r w:rsidRPr="00F84658">
        <w:rPr>
          <w:rFonts w:ascii="Times New Roman" w:hAnsi="Times New Roman" w:cs="Times New Roman"/>
        </w:rPr>
        <w:t>N</w:t>
      </w:r>
      <w:r w:rsidRPr="00F84658">
        <w:rPr>
          <w:rFonts w:ascii="Times New Roman" w:hAnsi="Times New Roman" w:cs="Times New Roman"/>
          <w:lang w:val="ru-RU"/>
        </w:rPr>
        <w:t xml:space="preserve"> 312-З)</w:t>
      </w:r>
    </w:p>
    <w:sectPr w:rsidR="008D407F" w:rsidRPr="008D4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58"/>
    <w:rsid w:val="008D407F"/>
    <w:rsid w:val="00D871F3"/>
    <w:rsid w:val="00F8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05AAB"/>
  <w15:chartTrackingRefBased/>
  <w15:docId w15:val="{DF068241-D5DE-4BF7-8E13-163F8225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F84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F8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658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8D4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D407F"/>
  </w:style>
  <w:style w:type="character" w:customStyle="1" w:styleId="colorff0000font-weightbold">
    <w:name w:val="color__ff0000font-weight_bold"/>
    <w:basedOn w:val="a0"/>
    <w:rsid w:val="008D407F"/>
  </w:style>
  <w:style w:type="character" w:customStyle="1" w:styleId="word-wrapper">
    <w:name w:val="word-wrapper"/>
    <w:basedOn w:val="a0"/>
    <w:rsid w:val="008D407F"/>
  </w:style>
  <w:style w:type="character" w:customStyle="1" w:styleId="font-weightbold">
    <w:name w:val="font-weight_bold"/>
    <w:basedOn w:val="a0"/>
    <w:rsid w:val="008D407F"/>
  </w:style>
  <w:style w:type="character" w:customStyle="1" w:styleId="colorff00ff">
    <w:name w:val="color__ff00ff"/>
    <w:basedOn w:val="a0"/>
    <w:rsid w:val="008D407F"/>
  </w:style>
  <w:style w:type="character" w:customStyle="1" w:styleId="fake-non-breaking-space">
    <w:name w:val="fake-non-breaking-space"/>
    <w:basedOn w:val="a0"/>
    <w:rsid w:val="008D407F"/>
  </w:style>
  <w:style w:type="character" w:customStyle="1" w:styleId="color0000ff">
    <w:name w:val="color__0000ff"/>
    <w:basedOn w:val="a0"/>
    <w:rsid w:val="008D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92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5344522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818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2024-12-11T13:13:00Z</dcterms:created>
  <dcterms:modified xsi:type="dcterms:W3CDTF">2024-12-11T13:32:00Z</dcterms:modified>
</cp:coreProperties>
</file>