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6408FA">
        <w:rPr>
          <w:rFonts w:ascii="Times New Roman" w:hAnsi="Times New Roman" w:cs="Times New Roman"/>
          <w:sz w:val="24"/>
          <w:szCs w:val="24"/>
        </w:rPr>
        <w:t xml:space="preserve">19 </w:t>
      </w:r>
      <w:r w:rsidR="008C34A6" w:rsidRPr="00206C6C">
        <w:rPr>
          <w:rFonts w:ascii="Times New Roman" w:hAnsi="Times New Roman" w:cs="Times New Roman"/>
          <w:sz w:val="24"/>
          <w:szCs w:val="24"/>
        </w:rPr>
        <w:t xml:space="preserve">от </w:t>
      </w:r>
      <w:r w:rsidR="006408FA">
        <w:rPr>
          <w:rFonts w:ascii="Times New Roman" w:hAnsi="Times New Roman" w:cs="Times New Roman"/>
          <w:sz w:val="24"/>
          <w:szCs w:val="24"/>
        </w:rPr>
        <w:t>31</w:t>
      </w:r>
      <w:r w:rsidR="008C34A6" w:rsidRPr="00206C6C">
        <w:rPr>
          <w:rFonts w:ascii="Times New Roman" w:hAnsi="Times New Roman" w:cs="Times New Roman"/>
          <w:sz w:val="24"/>
          <w:szCs w:val="24"/>
        </w:rPr>
        <w:t>.</w:t>
      </w:r>
      <w:r w:rsidR="006408FA">
        <w:rPr>
          <w:rFonts w:ascii="Times New Roman" w:hAnsi="Times New Roman" w:cs="Times New Roman"/>
          <w:sz w:val="24"/>
          <w:szCs w:val="24"/>
        </w:rPr>
        <w:t>03</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343072" w:rsidRPr="00206C6C" w:rsidRDefault="00B27566" w:rsidP="00AB011A">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4A5BB0">
        <w:rPr>
          <w:rFonts w:ascii="Times New Roman" w:hAnsi="Times New Roman"/>
          <w:sz w:val="24"/>
          <w:szCs w:val="24"/>
        </w:rPr>
        <w:t>С</w:t>
      </w:r>
      <w:r w:rsidR="00AB2656" w:rsidRPr="00AB2656">
        <w:rPr>
          <w:rFonts w:ascii="Times New Roman" w:hAnsi="Times New Roman"/>
          <w:sz w:val="24"/>
          <w:szCs w:val="24"/>
        </w:rPr>
        <w:t>ерверное оборудование (поставка и выполнение работ по инсталляции)</w:t>
      </w:r>
      <w:r w:rsidR="00343072" w:rsidRPr="00206C6C">
        <w:rPr>
          <w:rFonts w:ascii="Times New Roman" w:hAnsi="Times New Roman"/>
          <w:sz w:val="24"/>
          <w:szCs w:val="24"/>
        </w:rPr>
        <w:t>:</w:t>
      </w:r>
    </w:p>
    <w:p w:rsidR="00855671" w:rsidRPr="00206C6C" w:rsidRDefault="00855671" w:rsidP="00855671">
      <w:pPr>
        <w:pStyle w:val="af3"/>
        <w:ind w:firstLine="540"/>
        <w:jc w:val="both"/>
        <w:rPr>
          <w:rFonts w:ascii="Times New Roman" w:hAnsi="Times New Roman"/>
          <w:sz w:val="24"/>
          <w:szCs w:val="24"/>
        </w:rPr>
      </w:pPr>
      <w:r w:rsidRPr="00206C6C">
        <w:rPr>
          <w:rFonts w:ascii="Times New Roman" w:hAnsi="Times New Roman"/>
          <w:sz w:val="24"/>
          <w:szCs w:val="24"/>
        </w:rPr>
        <w:t xml:space="preserve">Лот №1 - </w:t>
      </w:r>
      <w:r w:rsidR="00955C3C" w:rsidRPr="00955C3C">
        <w:rPr>
          <w:rFonts w:ascii="Times New Roman" w:hAnsi="Times New Roman"/>
          <w:sz w:val="24"/>
          <w:szCs w:val="24"/>
        </w:rPr>
        <w:t>Сервер баз данных для нагрузочного контура (поставка и выполнение работ по инсталляции)</w:t>
      </w:r>
      <w:r w:rsidRPr="00206C6C">
        <w:rPr>
          <w:rFonts w:ascii="Times New Roman" w:hAnsi="Times New Roman"/>
          <w:sz w:val="24"/>
          <w:szCs w:val="24"/>
        </w:rPr>
        <w:t>;</w:t>
      </w:r>
    </w:p>
    <w:p w:rsidR="00C86FC5" w:rsidRDefault="00855671" w:rsidP="00C86FC5">
      <w:pPr>
        <w:pStyle w:val="af3"/>
        <w:ind w:firstLine="540"/>
        <w:jc w:val="both"/>
        <w:rPr>
          <w:rFonts w:ascii="Times New Roman" w:hAnsi="Times New Roman"/>
          <w:sz w:val="24"/>
          <w:szCs w:val="24"/>
        </w:rPr>
      </w:pPr>
      <w:r w:rsidRPr="00206C6C">
        <w:rPr>
          <w:rFonts w:ascii="Times New Roman" w:hAnsi="Times New Roman"/>
          <w:sz w:val="24"/>
          <w:szCs w:val="24"/>
        </w:rPr>
        <w:t xml:space="preserve">Лот №2 - </w:t>
      </w:r>
      <w:r w:rsidR="00C86FC5" w:rsidRPr="00C86FC5">
        <w:rPr>
          <w:rFonts w:ascii="Times New Roman" w:hAnsi="Times New Roman"/>
          <w:sz w:val="24"/>
          <w:szCs w:val="24"/>
        </w:rPr>
        <w:t>Сервера приложений для нагрузочного контура (поставка и выполнение работ по инсталляции)</w:t>
      </w:r>
      <w:r w:rsidR="00C86FC5">
        <w:rPr>
          <w:rFonts w:ascii="Times New Roman" w:hAnsi="Times New Roman"/>
          <w:sz w:val="24"/>
          <w:szCs w:val="24"/>
        </w:rPr>
        <w:t>.</w:t>
      </w:r>
    </w:p>
    <w:p w:rsidR="00B27566" w:rsidRPr="00206C6C" w:rsidRDefault="00B27566" w:rsidP="00C86FC5">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Приложениям №№1-2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1F6800" w:rsidRPr="001F6800">
        <w:rPr>
          <w:rFonts w:ascii="Times New Roman" w:hAnsi="Times New Roman"/>
          <w:sz w:val="24"/>
          <w:szCs w:val="24"/>
        </w:rPr>
        <w:t>26.20.15.000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F6800" w:rsidRPr="001F6800">
        <w:rPr>
          <w:rFonts w:ascii="Times New Roman" w:hAnsi="Times New Roman"/>
          <w:sz w:val="24"/>
          <w:szCs w:val="24"/>
        </w:rPr>
        <w:t>Машины вычислительные цифровые прочие (системные блоки), содержащие или не содержащие в одном корпусе одно или два из следующих устройств: запоминающие устройства, устройства ввода, устройства вывода</w:t>
      </w:r>
      <w:r w:rsidR="00BC2551" w:rsidRPr="00206C6C">
        <w:rPr>
          <w:rFonts w:ascii="Times New Roman" w:hAnsi="Times New Roman"/>
          <w:sz w:val="24"/>
          <w:szCs w:val="24"/>
        </w:rPr>
        <w:t>.</w:t>
      </w:r>
    </w:p>
    <w:p w:rsidR="004E4BE7" w:rsidRPr="00206C6C" w:rsidRDefault="00214059" w:rsidP="0066467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A145FC">
        <w:rPr>
          <w:rFonts w:ascii="Times New Roman" w:hAnsi="Times New Roman"/>
          <w:sz w:val="24"/>
          <w:szCs w:val="24"/>
        </w:rPr>
        <w:t>365 000</w:t>
      </w:r>
      <w:r w:rsidR="00887E9F" w:rsidRPr="00206C6C">
        <w:rPr>
          <w:rFonts w:ascii="Times New Roman" w:hAnsi="Times New Roman"/>
          <w:sz w:val="24"/>
          <w:szCs w:val="24"/>
        </w:rPr>
        <w:t xml:space="preserve">,00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В том числе:</w:t>
      </w:r>
    </w:p>
    <w:p w:rsidR="00530EE0" w:rsidRPr="00206C6C" w:rsidRDefault="00530EE0" w:rsidP="00530EE0">
      <w:pPr>
        <w:pStyle w:val="af3"/>
        <w:ind w:firstLine="709"/>
        <w:jc w:val="both"/>
        <w:rPr>
          <w:rFonts w:ascii="Times New Roman" w:hAnsi="Times New Roman"/>
          <w:sz w:val="24"/>
          <w:szCs w:val="24"/>
        </w:rPr>
      </w:pPr>
      <w:r w:rsidRPr="00206C6C">
        <w:rPr>
          <w:rFonts w:ascii="Times New Roman" w:hAnsi="Times New Roman"/>
          <w:sz w:val="24"/>
          <w:szCs w:val="24"/>
        </w:rPr>
        <w:t xml:space="preserve">Лот №1 - </w:t>
      </w:r>
      <w:r w:rsidR="00A75792">
        <w:rPr>
          <w:rFonts w:ascii="Times New Roman" w:hAnsi="Times New Roman"/>
          <w:sz w:val="24"/>
          <w:szCs w:val="24"/>
        </w:rPr>
        <w:t>2</w:t>
      </w:r>
      <w:r w:rsidR="00A145FC">
        <w:rPr>
          <w:rFonts w:ascii="Times New Roman" w:hAnsi="Times New Roman"/>
          <w:sz w:val="24"/>
          <w:szCs w:val="24"/>
        </w:rPr>
        <w:t>00</w:t>
      </w:r>
      <w:r w:rsidRPr="00206C6C">
        <w:rPr>
          <w:rFonts w:ascii="Times New Roman" w:hAnsi="Times New Roman"/>
          <w:sz w:val="24"/>
          <w:szCs w:val="24"/>
        </w:rPr>
        <w:t> 000,00 (</w:t>
      </w:r>
      <w:r w:rsidR="00A145FC">
        <w:rPr>
          <w:rFonts w:ascii="Times New Roman" w:hAnsi="Times New Roman"/>
          <w:sz w:val="24"/>
          <w:szCs w:val="24"/>
        </w:rPr>
        <w:t xml:space="preserve">Двести </w:t>
      </w:r>
      <w:r w:rsidRPr="00206C6C">
        <w:rPr>
          <w:rFonts w:ascii="Times New Roman" w:hAnsi="Times New Roman"/>
          <w:sz w:val="24"/>
          <w:szCs w:val="24"/>
        </w:rPr>
        <w:t>тысяч) долларов США (USD) с учетом НДС;</w:t>
      </w:r>
    </w:p>
    <w:p w:rsidR="00530EE0" w:rsidRPr="00206C6C" w:rsidRDefault="00530EE0" w:rsidP="00530EE0">
      <w:pPr>
        <w:pStyle w:val="af3"/>
        <w:ind w:firstLine="709"/>
        <w:jc w:val="both"/>
        <w:rPr>
          <w:rFonts w:ascii="Times New Roman" w:hAnsi="Times New Roman"/>
          <w:sz w:val="24"/>
          <w:szCs w:val="24"/>
        </w:rPr>
      </w:pPr>
      <w:r w:rsidRPr="00206C6C">
        <w:rPr>
          <w:rFonts w:ascii="Times New Roman" w:hAnsi="Times New Roman"/>
          <w:sz w:val="24"/>
          <w:szCs w:val="24"/>
        </w:rPr>
        <w:t xml:space="preserve">Лот №2 - </w:t>
      </w:r>
      <w:r w:rsidR="00A75792">
        <w:rPr>
          <w:rFonts w:ascii="Times New Roman" w:hAnsi="Times New Roman"/>
          <w:sz w:val="24"/>
          <w:szCs w:val="24"/>
        </w:rPr>
        <w:t>1</w:t>
      </w:r>
      <w:r w:rsidR="00A145FC">
        <w:rPr>
          <w:rFonts w:ascii="Times New Roman" w:hAnsi="Times New Roman"/>
          <w:sz w:val="24"/>
          <w:szCs w:val="24"/>
        </w:rPr>
        <w:t>65</w:t>
      </w:r>
      <w:r w:rsidRPr="00206C6C">
        <w:rPr>
          <w:rFonts w:ascii="Times New Roman" w:hAnsi="Times New Roman"/>
          <w:sz w:val="24"/>
          <w:szCs w:val="24"/>
        </w:rPr>
        <w:t> 000,00 (</w:t>
      </w:r>
      <w:r w:rsidR="00A75792">
        <w:rPr>
          <w:rFonts w:ascii="Times New Roman" w:hAnsi="Times New Roman"/>
          <w:sz w:val="24"/>
          <w:szCs w:val="24"/>
        </w:rPr>
        <w:t xml:space="preserve">Сто </w:t>
      </w:r>
      <w:r w:rsidR="00A145FC">
        <w:rPr>
          <w:rFonts w:ascii="Times New Roman" w:hAnsi="Times New Roman"/>
          <w:sz w:val="24"/>
          <w:szCs w:val="24"/>
        </w:rPr>
        <w:t>шестьдесят</w:t>
      </w:r>
      <w:r w:rsidRPr="00206C6C">
        <w:rPr>
          <w:rFonts w:ascii="Times New Roman" w:hAnsi="Times New Roman"/>
          <w:sz w:val="24"/>
          <w:szCs w:val="24"/>
        </w:rPr>
        <w:t xml:space="preserve"> тысяч) </w:t>
      </w:r>
      <w:r w:rsidR="00A145FC">
        <w:rPr>
          <w:rFonts w:ascii="Times New Roman" w:hAnsi="Times New Roman"/>
          <w:sz w:val="24"/>
          <w:szCs w:val="24"/>
        </w:rPr>
        <w:t>долларов США (USD) с учетом НДС.</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642BD3" w:rsidP="0055288F">
      <w:pPr>
        <w:pStyle w:val="af3"/>
        <w:jc w:val="both"/>
        <w:rPr>
          <w:rFonts w:ascii="Times New Roman" w:hAnsi="Times New Roman" w:cs="Times New Roman"/>
          <w:sz w:val="24"/>
          <w:szCs w:val="24"/>
        </w:rPr>
      </w:pPr>
      <w:r w:rsidRPr="00642BD3">
        <w:rPr>
          <w:rFonts w:ascii="Times New Roman" w:hAnsi="Times New Roman" w:cs="Times New Roman"/>
          <w:sz w:val="24"/>
          <w:szCs w:val="24"/>
        </w:rPr>
        <w:t>в течение 150 календарных дней с момента заключения договора</w:t>
      </w:r>
      <w:r w:rsidR="006D2B36" w:rsidRPr="00206C6C">
        <w:rPr>
          <w:rFonts w:ascii="Times New Roman" w:hAnsi="Times New Roman" w:cs="Times New Roman"/>
          <w:sz w:val="24"/>
          <w:szCs w:val="24"/>
        </w:rPr>
        <w:t>.</w:t>
      </w:r>
      <w:r>
        <w:rPr>
          <w:rFonts w:ascii="Times New Roman" w:hAnsi="Times New Roman" w:cs="Times New Roman"/>
          <w:sz w:val="24"/>
          <w:szCs w:val="24"/>
        </w:rPr>
        <w:t xml:space="preserve"> </w:t>
      </w:r>
    </w:p>
    <w:p w:rsidR="00FE00B6" w:rsidRPr="00206C6C" w:rsidRDefault="00642BD3" w:rsidP="00642BD3">
      <w:pPr>
        <w:pStyle w:val="af3"/>
        <w:ind w:firstLine="567"/>
        <w:jc w:val="both"/>
        <w:rPr>
          <w:rFonts w:ascii="Times New Roman" w:hAnsi="Times New Roman" w:cs="Times New Roman"/>
          <w:sz w:val="24"/>
          <w:szCs w:val="24"/>
        </w:rPr>
      </w:pPr>
      <w:r w:rsidRPr="00642BD3">
        <w:rPr>
          <w:rFonts w:ascii="Times New Roman" w:hAnsi="Times New Roman" w:cs="Times New Roman"/>
          <w:sz w:val="24"/>
          <w:szCs w:val="24"/>
        </w:rPr>
        <w:t>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20 (двадцати) рабочих дней с момента начала их выполнения. Инсталляция включает в себя: установку серверного оборудования в серверных помещениях Заказчика и обновление необходимых версий системного ПО на серверном оборудовании.</w:t>
      </w:r>
    </w:p>
    <w:p w:rsidR="00B27566" w:rsidRPr="00206C6C" w:rsidRDefault="00B27566" w:rsidP="0094637C">
      <w:pPr>
        <w:pStyle w:val="af3"/>
        <w:ind w:left="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426856" w:rsidRPr="00206C6C" w:rsidRDefault="004E659D" w:rsidP="00426856">
      <w:pPr>
        <w:pStyle w:val="af3"/>
        <w:ind w:firstLine="540"/>
        <w:jc w:val="both"/>
        <w:rPr>
          <w:rFonts w:ascii="Times New Roman" w:hAnsi="Times New Roman"/>
          <w:sz w:val="24"/>
          <w:szCs w:val="24"/>
        </w:rPr>
      </w:pPr>
      <w:r w:rsidRPr="00206C6C">
        <w:rPr>
          <w:rFonts w:ascii="Times New Roman" w:hAnsi="Times New Roman"/>
          <w:sz w:val="24"/>
          <w:szCs w:val="24"/>
        </w:rPr>
        <w:t>По Лотам №№1-</w:t>
      </w:r>
      <w:r w:rsidR="00A145FC">
        <w:rPr>
          <w:rFonts w:ascii="Times New Roman" w:hAnsi="Times New Roman"/>
          <w:sz w:val="24"/>
          <w:szCs w:val="24"/>
        </w:rPr>
        <w:t>2</w:t>
      </w:r>
      <w:r w:rsidRPr="00206C6C">
        <w:rPr>
          <w:rFonts w:ascii="Times New Roman" w:hAnsi="Times New Roman"/>
          <w:sz w:val="24"/>
          <w:szCs w:val="24"/>
        </w:rPr>
        <w:t xml:space="preserve"> о</w:t>
      </w:r>
      <w:r w:rsidR="00426856" w:rsidRPr="00206C6C">
        <w:rPr>
          <w:rFonts w:ascii="Times New Roman" w:hAnsi="Times New Roman"/>
          <w:sz w:val="24"/>
          <w:szCs w:val="24"/>
        </w:rPr>
        <w:t xml:space="preserve">плата производится </w:t>
      </w:r>
      <w:r w:rsidR="00E92E89" w:rsidRPr="00E92E89">
        <w:rPr>
          <w:rFonts w:ascii="Times New Roman" w:hAnsi="Times New Roman"/>
          <w:sz w:val="24"/>
          <w:szCs w:val="24"/>
        </w:rPr>
        <w:t xml:space="preserve">в белорусских рублях в течение 7 (семи) банковских дней с момента подписания акта по инсталляции оборудования.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w:t>
      </w:r>
      <w:r w:rsidR="00E92E89" w:rsidRPr="00E92E89">
        <w:rPr>
          <w:rFonts w:ascii="Times New Roman" w:hAnsi="Times New Roman"/>
          <w:sz w:val="24"/>
          <w:szCs w:val="24"/>
        </w:rPr>
        <w:lastRenderedPageBreak/>
        <w:t>Национальным банком Республики Беларусь на дату оформления товаросопроводительных документов (ТТН).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6408FA">
        <w:rPr>
          <w:rFonts w:ascii="Times New Roman" w:hAnsi="Times New Roman"/>
          <w:sz w:val="24"/>
          <w:szCs w:val="24"/>
        </w:rPr>
        <w:t>02</w:t>
      </w:r>
      <w:r w:rsidR="008C34A6" w:rsidRPr="00206C6C">
        <w:rPr>
          <w:rFonts w:ascii="Times New Roman" w:hAnsi="Times New Roman"/>
          <w:sz w:val="24"/>
          <w:szCs w:val="24"/>
        </w:rPr>
        <w:t>.</w:t>
      </w:r>
      <w:r w:rsidR="006408FA">
        <w:rPr>
          <w:rFonts w:ascii="Times New Roman" w:hAnsi="Times New Roman"/>
          <w:sz w:val="24"/>
          <w:szCs w:val="24"/>
        </w:rPr>
        <w:t>04</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6408FA">
        <w:rPr>
          <w:rFonts w:ascii="Times New Roman" w:hAnsi="Times New Roman"/>
          <w:sz w:val="24"/>
          <w:szCs w:val="24"/>
        </w:rPr>
        <w:t>09</w:t>
      </w:r>
      <w:r w:rsidRPr="00206C6C">
        <w:rPr>
          <w:rFonts w:ascii="Times New Roman" w:hAnsi="Times New Roman"/>
          <w:sz w:val="24"/>
          <w:szCs w:val="24"/>
        </w:rPr>
        <w:t xml:space="preserve"> часов </w:t>
      </w:r>
      <w:r w:rsidR="006408FA">
        <w:rPr>
          <w:rFonts w:ascii="Times New Roman" w:hAnsi="Times New Roman"/>
          <w:sz w:val="24"/>
          <w:szCs w:val="24"/>
        </w:rPr>
        <w:t xml:space="preserve">00 минут </w:t>
      </w:r>
      <w:r w:rsidRPr="00206C6C">
        <w:rPr>
          <w:rFonts w:ascii="Times New Roman" w:hAnsi="Times New Roman"/>
          <w:sz w:val="24"/>
          <w:szCs w:val="24"/>
        </w:rPr>
        <w:t xml:space="preserve">до </w:t>
      </w:r>
      <w:r w:rsidR="006408FA">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6408FA">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6408FA">
        <w:rPr>
          <w:rFonts w:ascii="Times New Roman" w:hAnsi="Times New Roman"/>
          <w:sz w:val="24"/>
          <w:szCs w:val="24"/>
        </w:rPr>
        <w:t>10</w:t>
      </w:r>
      <w:r w:rsidRPr="00206C6C">
        <w:rPr>
          <w:rFonts w:ascii="Times New Roman" w:hAnsi="Times New Roman"/>
          <w:sz w:val="24"/>
          <w:szCs w:val="24"/>
        </w:rPr>
        <w:t xml:space="preserve"> часо</w:t>
      </w:r>
      <w:r w:rsidR="00310171" w:rsidRPr="00206C6C">
        <w:rPr>
          <w:rFonts w:ascii="Times New Roman" w:hAnsi="Times New Roman"/>
          <w:sz w:val="24"/>
          <w:szCs w:val="24"/>
        </w:rPr>
        <w:t xml:space="preserve">в </w:t>
      </w:r>
      <w:r w:rsidR="006408FA">
        <w:rPr>
          <w:rFonts w:ascii="Times New Roman" w:hAnsi="Times New Roman"/>
          <w:sz w:val="24"/>
          <w:szCs w:val="24"/>
        </w:rPr>
        <w:t>00</w:t>
      </w:r>
      <w:r w:rsidR="00310171" w:rsidRPr="00206C6C">
        <w:rPr>
          <w:rFonts w:ascii="Times New Roman" w:hAnsi="Times New Roman"/>
          <w:sz w:val="24"/>
          <w:szCs w:val="24"/>
        </w:rPr>
        <w:t xml:space="preserve"> минут </w:t>
      </w:r>
      <w:r w:rsidR="006408FA">
        <w:rPr>
          <w:rFonts w:ascii="Times New Roman" w:hAnsi="Times New Roman"/>
          <w:sz w:val="24"/>
          <w:szCs w:val="24"/>
        </w:rPr>
        <w:t>14.04</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A31A55">
        <w:rPr>
          <w:rFonts w:ascii="Times New Roman" w:hAnsi="Times New Roman" w:cs="Times New Roman"/>
          <w:spacing w:val="1"/>
          <w:sz w:val="24"/>
          <w:szCs w:val="24"/>
        </w:rPr>
        <w:t>Серверного оборудования</w:t>
      </w:r>
      <w:r>
        <w:rPr>
          <w:rFonts w:ascii="Times New Roman" w:hAnsi="Times New Roman" w:cs="Times New Roman"/>
          <w:spacing w:val="1"/>
          <w:sz w:val="24"/>
          <w:szCs w:val="24"/>
        </w:rPr>
        <w:t xml:space="preserve"> </w:t>
      </w:r>
      <w:r w:rsidRPr="000D36A6">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A31A55" w:rsidRPr="00A31A55">
        <w:rPr>
          <w:rFonts w:ascii="Times New Roman" w:hAnsi="Times New Roman" w:cs="Times New Roman"/>
          <w:spacing w:val="1"/>
          <w:sz w:val="24"/>
          <w:szCs w:val="24"/>
        </w:rPr>
        <w:t>Серверно</w:t>
      </w:r>
      <w:r w:rsidR="00A31A55">
        <w:rPr>
          <w:rFonts w:ascii="Times New Roman" w:hAnsi="Times New Roman" w:cs="Times New Roman"/>
          <w:spacing w:val="1"/>
          <w:sz w:val="24"/>
          <w:szCs w:val="24"/>
        </w:rPr>
        <w:t>е</w:t>
      </w:r>
      <w:r w:rsidR="00A31A55" w:rsidRPr="00A31A55">
        <w:rPr>
          <w:rFonts w:ascii="Times New Roman" w:hAnsi="Times New Roman" w:cs="Times New Roman"/>
          <w:spacing w:val="1"/>
          <w:sz w:val="24"/>
          <w:szCs w:val="24"/>
        </w:rPr>
        <w:t xml:space="preserve"> оборудовани</w:t>
      </w:r>
      <w:r w:rsidR="00A31A55">
        <w:rPr>
          <w:rFonts w:ascii="Times New Roman" w:hAnsi="Times New Roman" w:cs="Times New Roman"/>
          <w:spacing w:val="1"/>
          <w:sz w:val="24"/>
          <w:szCs w:val="24"/>
        </w:rPr>
        <w:t>е</w:t>
      </w:r>
      <w:r w:rsidR="00A31A55" w:rsidRPr="00A31A55">
        <w:rPr>
          <w:rFonts w:ascii="Times New Roman" w:hAnsi="Times New Roman" w:cs="Times New Roman"/>
          <w:spacing w:val="1"/>
          <w:sz w:val="24"/>
          <w:szCs w:val="24"/>
        </w:rPr>
        <w:t xml:space="preserve"> </w:t>
      </w:r>
      <w:r w:rsidRPr="000D36A6">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AA29F2" w:rsidRPr="00AA29F2">
        <w:rPr>
          <w:rFonts w:ascii="Times New Roman" w:hAnsi="Times New Roman" w:cs="Times New Roman"/>
          <w:sz w:val="24"/>
          <w:szCs w:val="24"/>
        </w:rPr>
        <w:t xml:space="preserve">Серверного оборудования </w:t>
      </w:r>
      <w:r w:rsidRPr="00BF5F2E">
        <w:rPr>
          <w:rFonts w:ascii="Times New Roman" w:hAnsi="Times New Roman" w:cs="Times New Roman"/>
          <w:sz w:val="24"/>
          <w:szCs w:val="24"/>
        </w:rPr>
        <w:t>(поставка и выполнение работ по инсталляции)</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3934C9" w:rsidRPr="003934C9">
        <w:rPr>
          <w:rFonts w:ascii="Times New Roman" w:eastAsia="Times New Roman" w:hAnsi="Times New Roman" w:cs="Times New Roman"/>
          <w:spacing w:val="1"/>
          <w:sz w:val="24"/>
          <w:szCs w:val="24"/>
        </w:rPr>
        <w:t xml:space="preserve">Серверного оборудования </w:t>
      </w:r>
      <w:r w:rsidRPr="000213C8">
        <w:rPr>
          <w:rFonts w:ascii="Times New Roman" w:eastAsia="Times New Roman" w:hAnsi="Times New Roman" w:cs="Times New Roman"/>
          <w:spacing w:val="1"/>
          <w:sz w:val="24"/>
          <w:szCs w:val="24"/>
        </w:rPr>
        <w:t>(поставка и выполнение</w:t>
      </w:r>
      <w:r>
        <w:rPr>
          <w:rFonts w:ascii="Times New Roman" w:eastAsia="Times New Roman" w:hAnsi="Times New Roman" w:cs="Times New Roman"/>
          <w:spacing w:val="1"/>
          <w:sz w:val="24"/>
          <w:szCs w:val="24"/>
        </w:rPr>
        <w:t xml:space="preserve"> работ по </w:t>
      </w:r>
      <w:r w:rsidRPr="000213C8">
        <w:rPr>
          <w:rFonts w:ascii="Times New Roman" w:eastAsia="Times New Roman" w:hAnsi="Times New Roman" w:cs="Times New Roman"/>
          <w:spacing w:val="1"/>
          <w:sz w:val="24"/>
          <w:szCs w:val="24"/>
        </w:rPr>
        <w:t>инсталляции)</w:t>
      </w:r>
      <w:r>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C328DC">
        <w:rPr>
          <w:rFonts w:ascii="Times New Roman" w:hAnsi="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3574DF" w:rsidRPr="003574DF">
        <w:rPr>
          <w:rFonts w:ascii="Times New Roman" w:eastAsia="Times New Roman" w:hAnsi="Times New Roman" w:cs="Times New Roman"/>
          <w:spacing w:val="1"/>
          <w:sz w:val="24"/>
          <w:szCs w:val="24"/>
        </w:rPr>
        <w:t xml:space="preserve">Серверного оборудования </w:t>
      </w:r>
      <w:r w:rsidRPr="000213C8">
        <w:rPr>
          <w:rFonts w:ascii="Times New Roman" w:eastAsia="Times New Roman" w:hAnsi="Times New Roman" w:cs="Times New Roman"/>
          <w:spacing w:val="1"/>
          <w:sz w:val="24"/>
          <w:szCs w:val="24"/>
        </w:rPr>
        <w:t>(поставка и выполнение работ по инсталляции)</w:t>
      </w:r>
      <w:r>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6408FA">
          <w:rPr>
            <w:noProof/>
          </w:rPr>
          <w:t>6</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722E8"/>
    <w:rsid w:val="00076E65"/>
    <w:rsid w:val="00095636"/>
    <w:rsid w:val="000A7101"/>
    <w:rsid w:val="000B253A"/>
    <w:rsid w:val="000B4BC1"/>
    <w:rsid w:val="000C19A0"/>
    <w:rsid w:val="000D578E"/>
    <w:rsid w:val="000F6112"/>
    <w:rsid w:val="000F7FBB"/>
    <w:rsid w:val="0010604E"/>
    <w:rsid w:val="001073A6"/>
    <w:rsid w:val="00126BC9"/>
    <w:rsid w:val="0013200E"/>
    <w:rsid w:val="0014508E"/>
    <w:rsid w:val="00155015"/>
    <w:rsid w:val="00173791"/>
    <w:rsid w:val="00176987"/>
    <w:rsid w:val="00176B30"/>
    <w:rsid w:val="00186A62"/>
    <w:rsid w:val="001A4E54"/>
    <w:rsid w:val="001C00B9"/>
    <w:rsid w:val="001C113A"/>
    <w:rsid w:val="001C687D"/>
    <w:rsid w:val="001E274B"/>
    <w:rsid w:val="001E2E6E"/>
    <w:rsid w:val="001E4B6F"/>
    <w:rsid w:val="001F6800"/>
    <w:rsid w:val="002022FA"/>
    <w:rsid w:val="00206C6C"/>
    <w:rsid w:val="00214059"/>
    <w:rsid w:val="00214CB2"/>
    <w:rsid w:val="00223448"/>
    <w:rsid w:val="00225A3E"/>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08FA"/>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35A2D"/>
    <w:rsid w:val="0083692A"/>
    <w:rsid w:val="00842D71"/>
    <w:rsid w:val="00855671"/>
    <w:rsid w:val="008657E4"/>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70E0B"/>
    <w:rsid w:val="00B74CAC"/>
    <w:rsid w:val="00B7756B"/>
    <w:rsid w:val="00B93AFD"/>
    <w:rsid w:val="00BA0A61"/>
    <w:rsid w:val="00BA298C"/>
    <w:rsid w:val="00BA7C3A"/>
    <w:rsid w:val="00BC1990"/>
    <w:rsid w:val="00BC2551"/>
    <w:rsid w:val="00C124EE"/>
    <w:rsid w:val="00C14D09"/>
    <w:rsid w:val="00C15E6C"/>
    <w:rsid w:val="00C459C9"/>
    <w:rsid w:val="00C55C55"/>
    <w:rsid w:val="00C561D1"/>
    <w:rsid w:val="00C57D45"/>
    <w:rsid w:val="00C66312"/>
    <w:rsid w:val="00C85652"/>
    <w:rsid w:val="00C86FC5"/>
    <w:rsid w:val="00CC040B"/>
    <w:rsid w:val="00CE0EAD"/>
    <w:rsid w:val="00CE2561"/>
    <w:rsid w:val="00CE4FE7"/>
    <w:rsid w:val="00CF3866"/>
    <w:rsid w:val="00D02AD9"/>
    <w:rsid w:val="00D20302"/>
    <w:rsid w:val="00D2042C"/>
    <w:rsid w:val="00D34101"/>
    <w:rsid w:val="00D37D7B"/>
    <w:rsid w:val="00D51DEA"/>
    <w:rsid w:val="00D6322F"/>
    <w:rsid w:val="00D827BA"/>
    <w:rsid w:val="00DB0415"/>
    <w:rsid w:val="00DC523D"/>
    <w:rsid w:val="00DC63DC"/>
    <w:rsid w:val="00DD057C"/>
    <w:rsid w:val="00DE3085"/>
    <w:rsid w:val="00DE3A11"/>
    <w:rsid w:val="00DF01F3"/>
    <w:rsid w:val="00E044DD"/>
    <w:rsid w:val="00E14203"/>
    <w:rsid w:val="00E17A20"/>
    <w:rsid w:val="00E22BDB"/>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B014C"/>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C69A"/>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1622</Words>
  <Characters>9248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89</cp:revision>
  <dcterms:created xsi:type="dcterms:W3CDTF">2022-07-04T12:48:00Z</dcterms:created>
  <dcterms:modified xsi:type="dcterms:W3CDTF">2025-04-01T11:12:00Z</dcterms:modified>
</cp:coreProperties>
</file>