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E4" w:rsidRPr="00C725AD" w:rsidRDefault="001F34E4" w:rsidP="001F34E4">
      <w:pPr>
        <w:shd w:val="clear" w:color="auto" w:fill="FFFFFF" w:themeFill="background1"/>
        <w:jc w:val="center"/>
        <w:rPr>
          <w:b/>
          <w:sz w:val="40"/>
          <w:szCs w:val="40"/>
        </w:rPr>
      </w:pPr>
      <w:r w:rsidRPr="006C237A">
        <w:rPr>
          <w:b/>
          <w:sz w:val="40"/>
          <w:szCs w:val="40"/>
        </w:rPr>
        <w:t>ПРИГЛАШЕНИЕ</w:t>
      </w:r>
    </w:p>
    <w:p w:rsidR="001F34E4" w:rsidRPr="00894759" w:rsidRDefault="000519A5" w:rsidP="00115E1E">
      <w:pPr>
        <w:shd w:val="clear" w:color="auto" w:fill="FFFFFF" w:themeFill="background1"/>
        <w:jc w:val="center"/>
        <w:rPr>
          <w:sz w:val="26"/>
          <w:szCs w:val="26"/>
        </w:rPr>
      </w:pPr>
      <w:r w:rsidRPr="00894759">
        <w:rPr>
          <w:sz w:val="26"/>
          <w:szCs w:val="26"/>
        </w:rPr>
        <w:t>к участию в процедуре закупки</w:t>
      </w:r>
      <w:r w:rsidR="00115E1E">
        <w:rPr>
          <w:sz w:val="26"/>
          <w:szCs w:val="26"/>
        </w:rPr>
        <w:t xml:space="preserve"> </w:t>
      </w:r>
      <w:r w:rsidRPr="00894759">
        <w:rPr>
          <w:sz w:val="26"/>
          <w:szCs w:val="26"/>
        </w:rPr>
        <w:t>«Выполнение работ (оказание услуг) по разработке проектно-сметной документации</w:t>
      </w:r>
      <w:r w:rsidR="00115E1E">
        <w:rPr>
          <w:sz w:val="26"/>
          <w:szCs w:val="26"/>
        </w:rPr>
        <w:t xml:space="preserve"> и </w:t>
      </w:r>
      <w:r w:rsidRPr="00894759">
        <w:rPr>
          <w:sz w:val="26"/>
          <w:szCs w:val="26"/>
        </w:rPr>
        <w:t>монтаж</w:t>
      </w:r>
      <w:r w:rsidR="00D11C7F" w:rsidRPr="00894759">
        <w:rPr>
          <w:sz w:val="26"/>
          <w:szCs w:val="26"/>
        </w:rPr>
        <w:t>у</w:t>
      </w:r>
      <w:r w:rsidRPr="00894759">
        <w:rPr>
          <w:sz w:val="26"/>
          <w:szCs w:val="26"/>
        </w:rPr>
        <w:t xml:space="preserve"> систем </w:t>
      </w:r>
      <w:r w:rsidR="00115E1E">
        <w:rPr>
          <w:sz w:val="26"/>
          <w:szCs w:val="26"/>
        </w:rPr>
        <w:t>безопасности»</w:t>
      </w:r>
    </w:p>
    <w:p w:rsidR="001F34E4" w:rsidRPr="00894759" w:rsidRDefault="001F34E4" w:rsidP="001F34E4">
      <w:pPr>
        <w:shd w:val="clear" w:color="auto" w:fill="FFFFFF" w:themeFill="background1"/>
        <w:jc w:val="center"/>
        <w:rPr>
          <w:sz w:val="26"/>
          <w:szCs w:val="26"/>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91"/>
      </w:tblGrid>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вида процедуры закупки:</w:t>
            </w:r>
          </w:p>
        </w:tc>
        <w:tc>
          <w:tcPr>
            <w:tcW w:w="6691" w:type="dxa"/>
            <w:shd w:val="clear" w:color="auto" w:fill="auto"/>
          </w:tcPr>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Процедура оформления конкурентного листа</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и место нахождения Заказчика: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ОАО «Сбер Банк», </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г. Минск, пр-т Независимости, 32А-1 </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Код подвида товаров в соответствии с Классификатором продукции:</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sz w:val="26"/>
                <w:szCs w:val="26"/>
              </w:rPr>
              <w:t>80.20.10</w:t>
            </w:r>
          </w:p>
        </w:tc>
      </w:tr>
      <w:tr w:rsidR="001F34E4" w:rsidRPr="00894759" w:rsidTr="00AE0C18">
        <w:trPr>
          <w:trHeight w:val="1467"/>
        </w:trPr>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подвида товаров (работ, услуг) в соответствии с Классификатором продукции:</w:t>
            </w:r>
          </w:p>
        </w:tc>
        <w:tc>
          <w:tcPr>
            <w:tcW w:w="6691" w:type="dxa"/>
            <w:shd w:val="clear" w:color="auto" w:fill="FFFFFF" w:themeFill="background1"/>
          </w:tcPr>
          <w:p w:rsidR="001F34E4" w:rsidRPr="00894759" w:rsidRDefault="001F34E4" w:rsidP="00AE0C18">
            <w:pPr>
              <w:shd w:val="clear" w:color="auto" w:fill="FFFFFF" w:themeFill="background1"/>
              <w:jc w:val="both"/>
              <w:rPr>
                <w:rFonts w:eastAsia="A"/>
                <w:sz w:val="26"/>
                <w:szCs w:val="26"/>
              </w:rPr>
            </w:pPr>
            <w:r w:rsidRPr="00894759">
              <w:rPr>
                <w:sz w:val="26"/>
                <w:szCs w:val="26"/>
              </w:rPr>
              <w:t>Услуги в области систем обеспечения безопасности</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Предмет закупки:</w:t>
            </w:r>
          </w:p>
        </w:tc>
        <w:tc>
          <w:tcPr>
            <w:tcW w:w="6691" w:type="dxa"/>
            <w:shd w:val="clear" w:color="auto" w:fill="auto"/>
          </w:tcPr>
          <w:p w:rsidR="002B4A86" w:rsidRPr="00894759" w:rsidRDefault="00D37502" w:rsidP="002B4A86">
            <w:pPr>
              <w:shd w:val="clear" w:color="auto" w:fill="FFFFFF" w:themeFill="background1"/>
              <w:jc w:val="both"/>
              <w:rPr>
                <w:rFonts w:eastAsia="Times New Roman"/>
                <w:sz w:val="26"/>
                <w:szCs w:val="26"/>
                <w:lang w:eastAsia="ru-RU"/>
              </w:rPr>
            </w:pPr>
            <w:r w:rsidRPr="00894759">
              <w:rPr>
                <w:sz w:val="26"/>
                <w:szCs w:val="26"/>
              </w:rPr>
              <w:t>Лот № 1 – «</w:t>
            </w:r>
            <w:r w:rsidR="00A53B43" w:rsidRPr="00894759">
              <w:rPr>
                <w:sz w:val="26"/>
                <w:szCs w:val="26"/>
              </w:rPr>
              <w:t xml:space="preserve">Выполнение работ (оказание услуг) по разработке проектно-сметной документации, монтажу систем </w:t>
            </w:r>
            <w:r w:rsidR="00452A23" w:rsidRPr="00452A23">
              <w:rPr>
                <w:sz w:val="26"/>
                <w:szCs w:val="26"/>
              </w:rPr>
              <w:t>охранной сигнализации и видеонаблюдения</w:t>
            </w:r>
            <w:r w:rsidR="00156F5C" w:rsidRPr="00894759">
              <w:rPr>
                <w:sz w:val="26"/>
                <w:szCs w:val="26"/>
              </w:rPr>
              <w:t xml:space="preserve"> </w:t>
            </w:r>
            <w:r w:rsidR="00A53B43" w:rsidRPr="00894759">
              <w:rPr>
                <w:sz w:val="26"/>
                <w:szCs w:val="26"/>
              </w:rPr>
              <w:t>на объект</w:t>
            </w:r>
            <w:r w:rsidRPr="00894759">
              <w:rPr>
                <w:sz w:val="26"/>
                <w:szCs w:val="26"/>
              </w:rPr>
              <w:t>е</w:t>
            </w:r>
            <w:r w:rsidR="00452A23">
              <w:t xml:space="preserve"> </w:t>
            </w:r>
            <w:r w:rsidR="00452A23" w:rsidRPr="00452A23">
              <w:rPr>
                <w:sz w:val="26"/>
                <w:szCs w:val="26"/>
              </w:rPr>
              <w:t>УРМ ДО №701/1 по адресу: г. Минск, ул. Бобруйская, 6 – 10 (ТЦ «Галилео»</w:t>
            </w:r>
            <w:r w:rsidR="00452A23">
              <w:rPr>
                <w:sz w:val="26"/>
                <w:szCs w:val="26"/>
              </w:rPr>
              <w:t>)</w:t>
            </w:r>
            <w:r w:rsidRPr="00894759">
              <w:rPr>
                <w:rFonts w:eastAsia="Times New Roman"/>
                <w:sz w:val="26"/>
                <w:szCs w:val="26"/>
                <w:lang w:eastAsia="ru-RU"/>
              </w:rPr>
              <w:t xml:space="preserve">» </w:t>
            </w:r>
            <w:r w:rsidRPr="00894759">
              <w:rPr>
                <w:sz w:val="26"/>
                <w:szCs w:val="26"/>
              </w:rPr>
              <w:t>в соответствии с техническим заданием (Приложение № 1 к Приглашению)</w:t>
            </w:r>
            <w:r w:rsidR="002B4A86" w:rsidRPr="00894759">
              <w:rPr>
                <w:rFonts w:eastAsia="Times New Roman"/>
                <w:sz w:val="26"/>
                <w:szCs w:val="26"/>
                <w:lang w:eastAsia="ru-RU"/>
              </w:rPr>
              <w:t>;</w:t>
            </w:r>
          </w:p>
          <w:p w:rsidR="00D37502" w:rsidRPr="00894759" w:rsidRDefault="00D37502" w:rsidP="002B4A86">
            <w:pPr>
              <w:shd w:val="clear" w:color="auto" w:fill="FFFFFF" w:themeFill="background1"/>
              <w:jc w:val="both"/>
              <w:rPr>
                <w:rFonts w:eastAsia="Times New Roman"/>
                <w:sz w:val="26"/>
                <w:szCs w:val="26"/>
                <w:lang w:eastAsia="ru-RU"/>
              </w:rPr>
            </w:pPr>
          </w:p>
          <w:p w:rsidR="001F34E4" w:rsidRDefault="00D37502" w:rsidP="00D37502">
            <w:pPr>
              <w:shd w:val="clear" w:color="auto" w:fill="FFFFFF" w:themeFill="background1"/>
              <w:jc w:val="both"/>
              <w:rPr>
                <w:sz w:val="26"/>
                <w:szCs w:val="26"/>
              </w:rPr>
            </w:pPr>
            <w:r w:rsidRPr="00894759">
              <w:rPr>
                <w:rFonts w:eastAsia="Times New Roman"/>
                <w:sz w:val="26"/>
                <w:szCs w:val="26"/>
                <w:lang w:eastAsia="ru-RU"/>
              </w:rPr>
              <w:t xml:space="preserve">Лот № 2 – </w:t>
            </w:r>
            <w:r w:rsidR="00452A23" w:rsidRPr="00894759">
              <w:rPr>
                <w:sz w:val="26"/>
                <w:szCs w:val="26"/>
              </w:rPr>
              <w:t>«Выполнение работ (оказание услуг) по разработке проектно-сметной документации, монтажу систем</w:t>
            </w:r>
            <w:r w:rsidR="00452A23" w:rsidRPr="00452A23">
              <w:rPr>
                <w:sz w:val="26"/>
                <w:szCs w:val="26"/>
              </w:rPr>
              <w:t xml:space="preserve"> автоматической пожарной сигнализации</w:t>
            </w:r>
            <w:r w:rsidR="000523DF">
              <w:rPr>
                <w:sz w:val="26"/>
                <w:szCs w:val="26"/>
              </w:rPr>
              <w:t xml:space="preserve"> и оповещения о пожаре, а также </w:t>
            </w:r>
            <w:r w:rsidR="00452A23" w:rsidRPr="00452A23">
              <w:rPr>
                <w:sz w:val="26"/>
                <w:szCs w:val="26"/>
              </w:rPr>
              <w:t xml:space="preserve">видеонаблюдения </w:t>
            </w:r>
            <w:r w:rsidR="00452A23" w:rsidRPr="00894759">
              <w:rPr>
                <w:sz w:val="26"/>
                <w:szCs w:val="26"/>
              </w:rPr>
              <w:t>на объекте</w:t>
            </w:r>
            <w:r w:rsidR="00452A23" w:rsidRPr="00452A23">
              <w:rPr>
                <w:sz w:val="26"/>
                <w:szCs w:val="26"/>
              </w:rPr>
              <w:t xml:space="preserve"> УРМ ДО №704/2 </w:t>
            </w:r>
            <w:r w:rsidR="00452A23">
              <w:rPr>
                <w:sz w:val="26"/>
                <w:szCs w:val="26"/>
              </w:rPr>
              <w:t xml:space="preserve">по адресу: г. Минск, пр-т Рокоссовского, </w:t>
            </w:r>
            <w:r w:rsidR="00452A23" w:rsidRPr="00452A23">
              <w:rPr>
                <w:sz w:val="26"/>
                <w:szCs w:val="26"/>
              </w:rPr>
              <w:t xml:space="preserve">80б» </w:t>
            </w:r>
            <w:r w:rsidR="00452A23" w:rsidRPr="00894759">
              <w:rPr>
                <w:sz w:val="26"/>
                <w:szCs w:val="26"/>
              </w:rPr>
              <w:t>в соответствии с техническим заданием (Приложение № 1 к Приглашению)</w:t>
            </w:r>
            <w:r w:rsidR="00452A23" w:rsidRPr="00894759">
              <w:rPr>
                <w:rFonts w:eastAsia="Times New Roman"/>
                <w:sz w:val="26"/>
                <w:szCs w:val="26"/>
                <w:lang w:eastAsia="ru-RU"/>
              </w:rPr>
              <w:t>;</w:t>
            </w:r>
          </w:p>
          <w:p w:rsidR="00452A23" w:rsidRDefault="00452A23" w:rsidP="00D37502">
            <w:pPr>
              <w:shd w:val="clear" w:color="auto" w:fill="FFFFFF" w:themeFill="background1"/>
              <w:jc w:val="both"/>
              <w:rPr>
                <w:sz w:val="26"/>
                <w:szCs w:val="26"/>
              </w:rPr>
            </w:pPr>
          </w:p>
          <w:p w:rsidR="00452A23" w:rsidRPr="00894759" w:rsidRDefault="00452A23" w:rsidP="00D37502">
            <w:pPr>
              <w:shd w:val="clear" w:color="auto" w:fill="FFFFFF" w:themeFill="background1"/>
              <w:jc w:val="both"/>
              <w:rPr>
                <w:sz w:val="26"/>
                <w:szCs w:val="26"/>
              </w:rPr>
            </w:pPr>
            <w:r w:rsidRPr="00894759">
              <w:rPr>
                <w:rFonts w:eastAsia="Times New Roman"/>
                <w:sz w:val="26"/>
                <w:szCs w:val="26"/>
                <w:lang w:eastAsia="ru-RU"/>
              </w:rPr>
              <w:t xml:space="preserve">Лот № </w:t>
            </w:r>
            <w:r>
              <w:rPr>
                <w:rFonts w:eastAsia="Times New Roman"/>
                <w:sz w:val="26"/>
                <w:szCs w:val="26"/>
                <w:lang w:eastAsia="ru-RU"/>
              </w:rPr>
              <w:t>3</w:t>
            </w:r>
            <w:r w:rsidRPr="00894759">
              <w:rPr>
                <w:rFonts w:eastAsia="Times New Roman"/>
                <w:sz w:val="26"/>
                <w:szCs w:val="26"/>
                <w:lang w:eastAsia="ru-RU"/>
              </w:rPr>
              <w:t xml:space="preserve"> – </w:t>
            </w:r>
            <w:r w:rsidRPr="00894759">
              <w:rPr>
                <w:sz w:val="26"/>
                <w:szCs w:val="26"/>
              </w:rPr>
              <w:t xml:space="preserve">«Выполнение работ (оказание услуг) по разработке проектно-сметной документации, монтажу систем </w:t>
            </w:r>
            <w:r w:rsidRPr="00452A23">
              <w:rPr>
                <w:sz w:val="26"/>
                <w:szCs w:val="26"/>
              </w:rPr>
              <w:t xml:space="preserve">охранной сигнализации и видеонаблюдения </w:t>
            </w:r>
            <w:r w:rsidRPr="00894759">
              <w:rPr>
                <w:sz w:val="26"/>
                <w:szCs w:val="26"/>
              </w:rPr>
              <w:t>на объекте</w:t>
            </w:r>
            <w:r>
              <w:rPr>
                <w:sz w:val="26"/>
                <w:szCs w:val="26"/>
              </w:rPr>
              <w:t xml:space="preserve"> </w:t>
            </w:r>
            <w:r w:rsidRPr="00452A23">
              <w:rPr>
                <w:sz w:val="26"/>
                <w:szCs w:val="26"/>
              </w:rPr>
              <w:t>УРМ ДО №704/3 по адресу: г. Минск, пр</w:t>
            </w:r>
            <w:r>
              <w:rPr>
                <w:sz w:val="26"/>
                <w:szCs w:val="26"/>
              </w:rPr>
              <w:t>-т</w:t>
            </w:r>
            <w:r w:rsidRPr="00452A23">
              <w:rPr>
                <w:sz w:val="26"/>
                <w:szCs w:val="26"/>
              </w:rPr>
              <w:t xml:space="preserve"> Партизанский, 56» </w:t>
            </w:r>
            <w:r w:rsidRPr="00894759">
              <w:rPr>
                <w:sz w:val="26"/>
                <w:szCs w:val="26"/>
              </w:rPr>
              <w:t>в соответствии с техническим заданием (Приложение № 1 к Приглашению)</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highlight w:val="yellow"/>
              </w:rPr>
            </w:pPr>
            <w:r w:rsidRPr="00894759">
              <w:rPr>
                <w:rFonts w:eastAsia="A"/>
                <w:sz w:val="26"/>
                <w:szCs w:val="26"/>
              </w:rPr>
              <w:t>Ориентировочная стоимость предмета закупки:</w:t>
            </w:r>
          </w:p>
        </w:tc>
        <w:tc>
          <w:tcPr>
            <w:tcW w:w="6691" w:type="dxa"/>
            <w:shd w:val="clear" w:color="auto" w:fill="auto"/>
          </w:tcPr>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 № 1 – </w:t>
            </w:r>
            <w:r w:rsidR="00452A23">
              <w:rPr>
                <w:sz w:val="26"/>
                <w:szCs w:val="26"/>
              </w:rPr>
              <w:t>не</w:t>
            </w:r>
            <w:r w:rsidR="001F34E4" w:rsidRPr="00894759">
              <w:rPr>
                <w:sz w:val="26"/>
                <w:szCs w:val="26"/>
              </w:rPr>
              <w:t xml:space="preserve"> более </w:t>
            </w:r>
            <w:r w:rsidR="00452A23">
              <w:rPr>
                <w:sz w:val="26"/>
                <w:szCs w:val="26"/>
              </w:rPr>
              <w:t>30</w:t>
            </w:r>
            <w:r w:rsidR="001F34E4" w:rsidRPr="00894759">
              <w:rPr>
                <w:sz w:val="26"/>
                <w:szCs w:val="26"/>
              </w:rPr>
              <w:t xml:space="preserve"> 000 </w:t>
            </w:r>
            <w:r w:rsidR="001F34E4" w:rsidRPr="00894759">
              <w:rPr>
                <w:rFonts w:eastAsia="A"/>
                <w:sz w:val="26"/>
                <w:szCs w:val="26"/>
              </w:rPr>
              <w:t>белорусских рублей (</w:t>
            </w:r>
            <w:r w:rsidR="001F34E4" w:rsidRPr="00894759">
              <w:rPr>
                <w:sz w:val="26"/>
                <w:szCs w:val="26"/>
                <w:lang w:val="en-US"/>
              </w:rPr>
              <w:t>BYN</w:t>
            </w:r>
            <w:r w:rsidR="001F34E4" w:rsidRPr="00894759">
              <w:rPr>
                <w:sz w:val="26"/>
                <w:szCs w:val="26"/>
              </w:rPr>
              <w:t xml:space="preserve">) </w:t>
            </w:r>
            <w:r w:rsidRPr="00894759">
              <w:rPr>
                <w:rFonts w:eastAsia="A"/>
                <w:sz w:val="26"/>
                <w:szCs w:val="26"/>
              </w:rPr>
              <w:t>с учетом НДС;</w:t>
            </w:r>
          </w:p>
          <w:p w:rsidR="001F34E4" w:rsidRPr="00894759" w:rsidRDefault="00D37502" w:rsidP="00AE0C18">
            <w:pPr>
              <w:shd w:val="clear" w:color="auto" w:fill="FFFFFF" w:themeFill="background1"/>
              <w:jc w:val="both"/>
              <w:rPr>
                <w:rFonts w:eastAsia="A"/>
                <w:sz w:val="26"/>
                <w:szCs w:val="26"/>
              </w:rPr>
            </w:pPr>
            <w:r w:rsidRPr="00894759">
              <w:rPr>
                <w:sz w:val="26"/>
                <w:szCs w:val="26"/>
              </w:rPr>
              <w:t xml:space="preserve">Лот № 2 – </w:t>
            </w:r>
            <w:r w:rsidR="00452A23">
              <w:rPr>
                <w:sz w:val="26"/>
                <w:szCs w:val="26"/>
              </w:rPr>
              <w:t>не</w:t>
            </w:r>
            <w:r w:rsidRPr="00894759">
              <w:rPr>
                <w:sz w:val="26"/>
                <w:szCs w:val="26"/>
              </w:rPr>
              <w:t xml:space="preserve"> более </w:t>
            </w:r>
            <w:r w:rsidR="00452A23">
              <w:rPr>
                <w:sz w:val="26"/>
                <w:szCs w:val="26"/>
              </w:rPr>
              <w:t>30</w:t>
            </w:r>
            <w:r w:rsidRPr="00894759">
              <w:rPr>
                <w:sz w:val="26"/>
                <w:szCs w:val="26"/>
              </w:rPr>
              <w:t xml:space="preserve"> 000 </w:t>
            </w:r>
            <w:r w:rsidRPr="00894759">
              <w:rPr>
                <w:rFonts w:eastAsia="A"/>
                <w:sz w:val="26"/>
                <w:szCs w:val="26"/>
              </w:rPr>
              <w:t>белорусских рублей (</w:t>
            </w:r>
            <w:r w:rsidRPr="00894759">
              <w:rPr>
                <w:sz w:val="26"/>
                <w:szCs w:val="26"/>
                <w:lang w:val="en-US"/>
              </w:rPr>
              <w:t>BYN</w:t>
            </w:r>
            <w:r w:rsidRPr="00894759">
              <w:rPr>
                <w:sz w:val="26"/>
                <w:szCs w:val="26"/>
              </w:rPr>
              <w:t xml:space="preserve">) </w:t>
            </w:r>
            <w:r w:rsidR="00452A23">
              <w:rPr>
                <w:rFonts w:eastAsia="A"/>
                <w:sz w:val="26"/>
                <w:szCs w:val="26"/>
              </w:rPr>
              <w:t>с учетом НДС;</w:t>
            </w:r>
          </w:p>
          <w:p w:rsidR="00D37502" w:rsidRPr="00894759" w:rsidRDefault="00452A23" w:rsidP="00AE0C18">
            <w:pPr>
              <w:shd w:val="clear" w:color="auto" w:fill="FFFFFF" w:themeFill="background1"/>
              <w:jc w:val="both"/>
              <w:rPr>
                <w:rFonts w:eastAsia="A"/>
                <w:sz w:val="26"/>
                <w:szCs w:val="26"/>
              </w:rPr>
            </w:pPr>
            <w:r w:rsidRPr="00894759">
              <w:rPr>
                <w:sz w:val="26"/>
                <w:szCs w:val="26"/>
              </w:rPr>
              <w:t xml:space="preserve">Лот № 2 – </w:t>
            </w:r>
            <w:r>
              <w:rPr>
                <w:sz w:val="26"/>
                <w:szCs w:val="26"/>
              </w:rPr>
              <w:t>не</w:t>
            </w:r>
            <w:r w:rsidRPr="00894759">
              <w:rPr>
                <w:sz w:val="26"/>
                <w:szCs w:val="26"/>
              </w:rPr>
              <w:t xml:space="preserve"> более </w:t>
            </w:r>
            <w:r>
              <w:rPr>
                <w:sz w:val="26"/>
                <w:szCs w:val="26"/>
              </w:rPr>
              <w:t>30</w:t>
            </w:r>
            <w:r w:rsidRPr="00894759">
              <w:rPr>
                <w:sz w:val="26"/>
                <w:szCs w:val="26"/>
              </w:rPr>
              <w:t xml:space="preserve"> 000 </w:t>
            </w:r>
            <w:r w:rsidRPr="00894759">
              <w:rPr>
                <w:rFonts w:eastAsia="A"/>
                <w:sz w:val="26"/>
                <w:szCs w:val="26"/>
              </w:rPr>
              <w:t>белорусских рублей (</w:t>
            </w:r>
            <w:r w:rsidRPr="00894759">
              <w:rPr>
                <w:sz w:val="26"/>
                <w:szCs w:val="26"/>
                <w:lang w:val="en-US"/>
              </w:rPr>
              <w:t>BYN</w:t>
            </w:r>
            <w:r w:rsidRPr="00894759">
              <w:rPr>
                <w:sz w:val="26"/>
                <w:szCs w:val="26"/>
              </w:rPr>
              <w:t xml:space="preserve">) </w:t>
            </w:r>
            <w:r w:rsidRPr="00894759">
              <w:rPr>
                <w:rFonts w:eastAsia="A"/>
                <w:sz w:val="26"/>
                <w:szCs w:val="26"/>
              </w:rPr>
              <w:t>с учетом НДС.</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Ориентировочная стоимость предмета закупки   является предельной максимальной и может быть снижена участником. Заказчик оставляет за собой право инициировать проведение переговоров по снижению цены.</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lastRenderedPageBreak/>
              <w:t>Наличие финансового источника: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Собственные средства Банка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Требование к участникам:</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К участию в процедуре допускаются юридические лица, резиденты Республики Беларусь независимо от формы собственности, имеющие специальные разрешение (лицензию) на осуществление соответствующего вида деятельности, к которой относится предмет закупки (если такое разрешение требуется в соответствии с законодательством Республики Беларусь). </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 участию в процедуре закупки не допускаются:</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находящееся в процедуре экономической несостоятельности (банкротства), применяемой в целях восстановления платежеспособности (санации);</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452A23" w:rsidRPr="00452A23" w:rsidRDefault="001F34E4" w:rsidP="00452A23">
            <w:pPr>
              <w:shd w:val="clear" w:color="auto" w:fill="FFFFFF" w:themeFill="background1"/>
              <w:jc w:val="both"/>
              <w:rPr>
                <w:rFonts w:eastAsia="A"/>
                <w:sz w:val="26"/>
                <w:szCs w:val="26"/>
              </w:rPr>
            </w:pPr>
            <w:r w:rsidRPr="00894759">
              <w:rPr>
                <w:rFonts w:eastAsia="A"/>
                <w:sz w:val="26"/>
                <w:szCs w:val="26"/>
              </w:rPr>
              <w:t>4. юридическое лицо, представившее недостоверную информацию о себе.</w:t>
            </w:r>
          </w:p>
          <w:p w:rsidR="001F34E4" w:rsidRPr="00894759" w:rsidRDefault="001F34E4" w:rsidP="00452A23">
            <w:pPr>
              <w:widowControl w:val="0"/>
              <w:shd w:val="clear" w:color="auto" w:fill="FFFFFF" w:themeFill="background1"/>
              <w:jc w:val="both"/>
              <w:rPr>
                <w:rFonts w:eastAsia="A"/>
                <w:sz w:val="26"/>
                <w:szCs w:val="26"/>
              </w:rPr>
            </w:pPr>
            <w:r w:rsidRPr="00894759">
              <w:rPr>
                <w:sz w:val="26"/>
                <w:szCs w:val="26"/>
              </w:rPr>
              <w:t>Банк имеет право отклонить предложение участника при несоблюдении указанных требований</w:t>
            </w:r>
            <w:r w:rsidRPr="00894759">
              <w:rPr>
                <w:rFonts w:eastAsia="A"/>
                <w:sz w:val="26"/>
                <w:szCs w:val="26"/>
              </w:rPr>
              <w:t>.</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sz w:val="26"/>
                <w:szCs w:val="26"/>
                <w:highlight w:val="yellow"/>
              </w:rPr>
            </w:pPr>
            <w:r w:rsidRPr="00894759">
              <w:rPr>
                <w:sz w:val="26"/>
                <w:szCs w:val="26"/>
              </w:rPr>
              <w:t>Место выполнения работ (оказания услуг):</w:t>
            </w:r>
          </w:p>
        </w:tc>
        <w:tc>
          <w:tcPr>
            <w:tcW w:w="6691" w:type="dxa"/>
            <w:shd w:val="clear" w:color="auto" w:fill="auto"/>
          </w:tcPr>
          <w:p w:rsidR="001F34E4" w:rsidRPr="00894759" w:rsidRDefault="00D37502" w:rsidP="00156F5C">
            <w:pPr>
              <w:shd w:val="clear" w:color="auto" w:fill="FFFFFF" w:themeFill="background1"/>
              <w:rPr>
                <w:sz w:val="26"/>
                <w:szCs w:val="26"/>
              </w:rPr>
            </w:pPr>
            <w:r w:rsidRPr="00894759">
              <w:rPr>
                <w:sz w:val="26"/>
                <w:szCs w:val="26"/>
              </w:rPr>
              <w:t xml:space="preserve">Лот № 1 – </w:t>
            </w:r>
            <w:r w:rsidR="00452A23" w:rsidRPr="00452A23">
              <w:rPr>
                <w:sz w:val="26"/>
                <w:szCs w:val="26"/>
              </w:rPr>
              <w:t>г. Минск, ул. Бобруйская, 6</w:t>
            </w:r>
            <w:r w:rsidRPr="00894759">
              <w:rPr>
                <w:sz w:val="26"/>
                <w:szCs w:val="26"/>
              </w:rPr>
              <w:t>;</w:t>
            </w:r>
          </w:p>
          <w:p w:rsidR="002B4A86" w:rsidRDefault="00D37502" w:rsidP="00D37502">
            <w:pPr>
              <w:shd w:val="clear" w:color="auto" w:fill="FFFFFF" w:themeFill="background1"/>
              <w:rPr>
                <w:sz w:val="26"/>
                <w:szCs w:val="26"/>
              </w:rPr>
            </w:pPr>
            <w:r w:rsidRPr="00894759">
              <w:rPr>
                <w:sz w:val="26"/>
                <w:szCs w:val="26"/>
              </w:rPr>
              <w:t xml:space="preserve">Лот № 2 – </w:t>
            </w:r>
            <w:r w:rsidR="00452A23" w:rsidRPr="00452A23">
              <w:rPr>
                <w:sz w:val="26"/>
                <w:szCs w:val="26"/>
              </w:rPr>
              <w:t>г. Минск, пр</w:t>
            </w:r>
            <w:r w:rsidR="00115E1E">
              <w:rPr>
                <w:sz w:val="26"/>
                <w:szCs w:val="26"/>
              </w:rPr>
              <w:t>-т</w:t>
            </w:r>
            <w:r w:rsidR="00452A23" w:rsidRPr="00452A23">
              <w:rPr>
                <w:sz w:val="26"/>
                <w:szCs w:val="26"/>
              </w:rPr>
              <w:t xml:space="preserve"> Рокоссовского, 80б</w:t>
            </w:r>
            <w:r w:rsidR="00452A23">
              <w:rPr>
                <w:sz w:val="26"/>
                <w:szCs w:val="26"/>
              </w:rPr>
              <w:t>;</w:t>
            </w:r>
          </w:p>
          <w:p w:rsidR="00452A23" w:rsidRPr="00894759" w:rsidRDefault="00452A23" w:rsidP="00115E1E">
            <w:pPr>
              <w:shd w:val="clear" w:color="auto" w:fill="FFFFFF" w:themeFill="background1"/>
              <w:rPr>
                <w:sz w:val="26"/>
                <w:szCs w:val="26"/>
              </w:rPr>
            </w:pPr>
            <w:r w:rsidRPr="00894759">
              <w:rPr>
                <w:sz w:val="26"/>
                <w:szCs w:val="26"/>
              </w:rPr>
              <w:t>Лот № </w:t>
            </w:r>
            <w:r>
              <w:rPr>
                <w:sz w:val="26"/>
                <w:szCs w:val="26"/>
              </w:rPr>
              <w:t>3</w:t>
            </w:r>
            <w:r w:rsidRPr="00894759">
              <w:rPr>
                <w:sz w:val="26"/>
                <w:szCs w:val="26"/>
              </w:rPr>
              <w:t xml:space="preserve"> – </w:t>
            </w:r>
            <w:r w:rsidRPr="00452A23">
              <w:rPr>
                <w:sz w:val="26"/>
                <w:szCs w:val="26"/>
              </w:rPr>
              <w:t>г. Минск, пр</w:t>
            </w:r>
            <w:r w:rsidR="00115E1E">
              <w:rPr>
                <w:sz w:val="26"/>
                <w:szCs w:val="26"/>
              </w:rPr>
              <w:t>-т</w:t>
            </w:r>
            <w:r w:rsidRPr="00452A23">
              <w:rPr>
                <w:sz w:val="26"/>
                <w:szCs w:val="26"/>
              </w:rPr>
              <w:t xml:space="preserve"> Партизанский, 56</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sz w:val="26"/>
                <w:szCs w:val="26"/>
              </w:rPr>
              <w:t>Сроки оказываемых услуг</w:t>
            </w:r>
            <w:r w:rsidRPr="00894759">
              <w:rPr>
                <w:rFonts w:eastAsia="A"/>
                <w:sz w:val="26"/>
                <w:szCs w:val="26"/>
              </w:rPr>
              <w:t>:</w:t>
            </w:r>
          </w:p>
        </w:tc>
        <w:tc>
          <w:tcPr>
            <w:tcW w:w="6691" w:type="dxa"/>
            <w:shd w:val="clear" w:color="auto" w:fill="auto"/>
          </w:tcPr>
          <w:p w:rsidR="00115E1E" w:rsidRPr="00894759" w:rsidRDefault="00115E1E" w:rsidP="00115E1E">
            <w:pPr>
              <w:shd w:val="clear" w:color="auto" w:fill="FFFFFF" w:themeFill="background1"/>
              <w:rPr>
                <w:sz w:val="26"/>
                <w:szCs w:val="26"/>
              </w:rPr>
            </w:pPr>
            <w:r w:rsidRPr="00894759">
              <w:rPr>
                <w:sz w:val="26"/>
                <w:szCs w:val="26"/>
              </w:rPr>
              <w:t xml:space="preserve">Лот № 1 – </w:t>
            </w:r>
            <w:r>
              <w:rPr>
                <w:sz w:val="26"/>
                <w:szCs w:val="26"/>
              </w:rPr>
              <w:t xml:space="preserve">не позднее </w:t>
            </w:r>
            <w:r w:rsidRPr="00115E1E">
              <w:rPr>
                <w:sz w:val="26"/>
                <w:szCs w:val="26"/>
              </w:rPr>
              <w:t>25.08</w:t>
            </w:r>
            <w:r>
              <w:rPr>
                <w:sz w:val="26"/>
                <w:szCs w:val="26"/>
              </w:rPr>
              <w:t>.2025 включительно;</w:t>
            </w:r>
          </w:p>
          <w:p w:rsidR="00115E1E" w:rsidRDefault="00115E1E" w:rsidP="00115E1E">
            <w:pPr>
              <w:shd w:val="clear" w:color="auto" w:fill="FFFFFF" w:themeFill="background1"/>
              <w:rPr>
                <w:sz w:val="26"/>
                <w:szCs w:val="26"/>
              </w:rPr>
            </w:pPr>
            <w:r w:rsidRPr="00894759">
              <w:rPr>
                <w:sz w:val="26"/>
                <w:szCs w:val="26"/>
              </w:rPr>
              <w:t xml:space="preserve">Лот № 2 – </w:t>
            </w:r>
            <w:r>
              <w:rPr>
                <w:sz w:val="26"/>
                <w:szCs w:val="26"/>
              </w:rPr>
              <w:t>не позднее 01.06.2025 включительно;</w:t>
            </w:r>
          </w:p>
          <w:p w:rsidR="001F34E4" w:rsidRPr="00894759" w:rsidRDefault="00115E1E" w:rsidP="00115E1E">
            <w:pPr>
              <w:shd w:val="clear" w:color="auto" w:fill="FFFFFF" w:themeFill="background1"/>
              <w:rPr>
                <w:rFonts w:eastAsia="A"/>
                <w:sz w:val="26"/>
                <w:szCs w:val="26"/>
              </w:rPr>
            </w:pPr>
            <w:r w:rsidRPr="00894759">
              <w:rPr>
                <w:sz w:val="26"/>
                <w:szCs w:val="26"/>
              </w:rPr>
              <w:t>Лот № </w:t>
            </w:r>
            <w:r>
              <w:rPr>
                <w:sz w:val="26"/>
                <w:szCs w:val="26"/>
              </w:rPr>
              <w:t>3</w:t>
            </w:r>
            <w:r w:rsidRPr="00894759">
              <w:rPr>
                <w:sz w:val="26"/>
                <w:szCs w:val="26"/>
              </w:rPr>
              <w:t xml:space="preserve"> – </w:t>
            </w:r>
            <w:r>
              <w:rPr>
                <w:sz w:val="26"/>
                <w:szCs w:val="26"/>
              </w:rPr>
              <w:t>не позднее 22.07.2025включительно;</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 xml:space="preserve">Дополнительные требования к предмету закупки: </w:t>
            </w:r>
          </w:p>
        </w:tc>
        <w:tc>
          <w:tcPr>
            <w:tcW w:w="6691" w:type="dxa"/>
            <w:shd w:val="clear" w:color="auto" w:fill="auto"/>
          </w:tcPr>
          <w:p w:rsidR="001F34E4" w:rsidRPr="00894759" w:rsidRDefault="001F34E4" w:rsidP="00115E1E">
            <w:pPr>
              <w:shd w:val="clear" w:color="auto" w:fill="FFFFFF" w:themeFill="background1"/>
              <w:ind w:right="117"/>
              <w:jc w:val="both"/>
              <w:rPr>
                <w:rFonts w:eastAsia="A"/>
                <w:sz w:val="26"/>
                <w:szCs w:val="26"/>
              </w:rPr>
            </w:pPr>
            <w:r w:rsidRPr="00894759">
              <w:rPr>
                <w:rFonts w:eastAsia="A"/>
                <w:sz w:val="26"/>
                <w:szCs w:val="26"/>
              </w:rPr>
              <w:t xml:space="preserve">Участник имеет право представить только одно предложение </w:t>
            </w:r>
            <w:r w:rsidR="00D37502" w:rsidRPr="00894759">
              <w:rPr>
                <w:rFonts w:eastAsia="A"/>
                <w:sz w:val="26"/>
                <w:szCs w:val="26"/>
              </w:rPr>
              <w:t xml:space="preserve">по каждому </w:t>
            </w:r>
            <w:r w:rsidR="00C935FB">
              <w:rPr>
                <w:rFonts w:eastAsia="A"/>
                <w:sz w:val="26"/>
                <w:szCs w:val="26"/>
              </w:rPr>
              <w:t>Л</w:t>
            </w:r>
            <w:r w:rsidR="00D37502" w:rsidRPr="00894759">
              <w:rPr>
                <w:rFonts w:eastAsia="A"/>
                <w:sz w:val="26"/>
                <w:szCs w:val="26"/>
              </w:rPr>
              <w:t xml:space="preserve">оту </w:t>
            </w:r>
            <w:r w:rsidRPr="00894759">
              <w:rPr>
                <w:rFonts w:eastAsia="A"/>
                <w:sz w:val="26"/>
                <w:szCs w:val="26"/>
              </w:rPr>
              <w:t>(за исключением случая проведения переговоров по снижению цены).</w:t>
            </w:r>
          </w:p>
          <w:p w:rsidR="001F34E4" w:rsidRPr="00894759" w:rsidRDefault="001F34E4" w:rsidP="00115E1E">
            <w:pPr>
              <w:shd w:val="clear" w:color="auto" w:fill="FFFFFF" w:themeFill="background1"/>
              <w:jc w:val="both"/>
              <w:rPr>
                <w:rFonts w:eastAsia="A"/>
                <w:sz w:val="26"/>
                <w:szCs w:val="26"/>
              </w:rPr>
            </w:pPr>
            <w:r w:rsidRPr="00894759">
              <w:rPr>
                <w:rFonts w:eastAsia="A"/>
                <w:sz w:val="26"/>
                <w:szCs w:val="26"/>
              </w:rPr>
              <w:t>Стоимость в коммерческом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 Указанные в коммерческом предложении цены являются окончательными. Изменение стоимости, указанн</w:t>
            </w:r>
            <w:r w:rsidR="00115E1E">
              <w:rPr>
                <w:rFonts w:eastAsia="A"/>
                <w:sz w:val="26"/>
                <w:szCs w:val="26"/>
              </w:rPr>
              <w:t xml:space="preserve">ой в коммерческом предложении, возможно </w:t>
            </w:r>
            <w:r w:rsidRPr="00894759">
              <w:rPr>
                <w:rFonts w:eastAsia="A"/>
                <w:sz w:val="26"/>
                <w:szCs w:val="26"/>
              </w:rPr>
              <w:t>только при проведении переговоров по снижению цены.</w:t>
            </w:r>
          </w:p>
          <w:p w:rsidR="001F34E4" w:rsidRPr="00894759" w:rsidRDefault="001F34E4" w:rsidP="00115E1E">
            <w:pPr>
              <w:shd w:val="clear" w:color="auto" w:fill="FFFFFF" w:themeFill="background1"/>
              <w:jc w:val="both"/>
              <w:rPr>
                <w:rFonts w:eastAsia="A"/>
                <w:sz w:val="26"/>
                <w:szCs w:val="26"/>
              </w:rPr>
            </w:pPr>
            <w:r w:rsidRPr="00894759">
              <w:rPr>
                <w:rFonts w:eastAsia="A"/>
                <w:sz w:val="26"/>
                <w:szCs w:val="26"/>
              </w:rPr>
              <w:t>Цены из коммерческого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коммерческому предложению Участника.</w:t>
            </w:r>
          </w:p>
        </w:tc>
      </w:tr>
      <w:tr w:rsidR="001F34E4" w:rsidRPr="00894759" w:rsidTr="00AE0C18">
        <w:tc>
          <w:tcPr>
            <w:tcW w:w="3119" w:type="dxa"/>
            <w:shd w:val="clear" w:color="auto" w:fill="auto"/>
            <w:vAlign w:val="center"/>
          </w:tcPr>
          <w:p w:rsidR="001F34E4" w:rsidRPr="00894759" w:rsidRDefault="001F34E4" w:rsidP="00AE0C18">
            <w:pPr>
              <w:shd w:val="clear" w:color="auto" w:fill="FFFFFF" w:themeFill="background1"/>
              <w:rPr>
                <w:rFonts w:eastAsia="A"/>
                <w:sz w:val="26"/>
                <w:szCs w:val="26"/>
                <w:highlight w:val="yellow"/>
              </w:rPr>
            </w:pPr>
            <w:r w:rsidRPr="00894759">
              <w:rPr>
                <w:rFonts w:eastAsia="A"/>
                <w:sz w:val="26"/>
                <w:szCs w:val="26"/>
              </w:rPr>
              <w:t>Критерии и способ оценки участников процедуры закупки:</w:t>
            </w:r>
          </w:p>
        </w:tc>
        <w:tc>
          <w:tcPr>
            <w:tcW w:w="6691" w:type="dxa"/>
            <w:shd w:val="clear" w:color="auto" w:fill="auto"/>
          </w:tcPr>
          <w:p w:rsidR="001F34E4" w:rsidRPr="00894759" w:rsidRDefault="00CD65E1" w:rsidP="00F6691A">
            <w:pPr>
              <w:shd w:val="clear" w:color="auto" w:fill="FFFFFF" w:themeFill="background1"/>
              <w:jc w:val="both"/>
              <w:rPr>
                <w:rFonts w:eastAsia="A"/>
                <w:sz w:val="26"/>
                <w:szCs w:val="26"/>
              </w:rPr>
            </w:pPr>
            <w:r w:rsidRPr="00F47BA9">
              <w:rPr>
                <w:rFonts w:eastAsia="A"/>
                <w:sz w:val="26"/>
                <w:szCs w:val="26"/>
              </w:rPr>
              <w:t>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общую стоимость по каждому Лоту. При наличии нескольких коммерческих предложений по каждому Лоту с одной минимально низкой ценой дополнительно будет учитываться следующий критерий: по Лот</w:t>
            </w:r>
            <w:r w:rsidR="00F6691A">
              <w:rPr>
                <w:rFonts w:eastAsia="A"/>
                <w:sz w:val="26"/>
                <w:szCs w:val="26"/>
              </w:rPr>
              <w:t>ам №1, №</w:t>
            </w:r>
            <w:r w:rsidRPr="00F47BA9">
              <w:rPr>
                <w:rFonts w:eastAsia="A"/>
                <w:sz w:val="26"/>
                <w:szCs w:val="26"/>
              </w:rPr>
              <w:t>2</w:t>
            </w:r>
            <w:r w:rsidR="00F6691A">
              <w:rPr>
                <w:rFonts w:eastAsia="A"/>
                <w:sz w:val="26"/>
                <w:szCs w:val="26"/>
              </w:rPr>
              <w:t>, №3</w:t>
            </w:r>
            <w:r w:rsidRPr="00F47BA9">
              <w:rPr>
                <w:rFonts w:eastAsia="A"/>
                <w:sz w:val="26"/>
                <w:szCs w:val="26"/>
              </w:rPr>
              <w:t xml:space="preserve"> – </w:t>
            </w:r>
            <w:r w:rsidR="001F34E4" w:rsidRPr="00F47BA9">
              <w:rPr>
                <w:rFonts w:eastAsia="A"/>
                <w:sz w:val="26"/>
                <w:szCs w:val="26"/>
              </w:rPr>
              <w:t xml:space="preserve">срок </w:t>
            </w:r>
            <w:r w:rsidR="00115E1E" w:rsidRPr="00F47BA9">
              <w:rPr>
                <w:rFonts w:eastAsia="A"/>
                <w:sz w:val="26"/>
                <w:szCs w:val="26"/>
              </w:rPr>
              <w:t xml:space="preserve">оказания услуг (выполнения работ) </w:t>
            </w:r>
            <w:r w:rsidR="001F34E4" w:rsidRPr="00F47BA9">
              <w:rPr>
                <w:rFonts w:eastAsia="A"/>
                <w:sz w:val="26"/>
                <w:szCs w:val="26"/>
              </w:rPr>
              <w:t xml:space="preserve">(наилучшее условие – </w:t>
            </w:r>
            <w:r w:rsidR="00115E1E" w:rsidRPr="00F47BA9">
              <w:rPr>
                <w:rFonts w:eastAsia="A"/>
                <w:sz w:val="26"/>
                <w:szCs w:val="26"/>
              </w:rPr>
              <w:t>наименьший срок оказания услуг (выполнения работ)</w:t>
            </w:r>
            <w:r w:rsidR="001F34E4" w:rsidRPr="00F47BA9">
              <w:rPr>
                <w:rFonts w:eastAsia="A"/>
                <w:sz w:val="26"/>
                <w:szCs w:val="26"/>
              </w:rPr>
              <w:t>).</w:t>
            </w:r>
          </w:p>
        </w:tc>
      </w:tr>
      <w:tr w:rsidR="00F47BA9" w:rsidRPr="00894759" w:rsidTr="007413BC">
        <w:tc>
          <w:tcPr>
            <w:tcW w:w="3119" w:type="dxa"/>
            <w:shd w:val="clear" w:color="auto" w:fill="auto"/>
          </w:tcPr>
          <w:p w:rsidR="00F47BA9" w:rsidRPr="000F6604" w:rsidRDefault="00F47BA9" w:rsidP="00F47BA9">
            <w:pPr>
              <w:rPr>
                <w:sz w:val="28"/>
                <w:szCs w:val="28"/>
              </w:rPr>
            </w:pPr>
            <w:r w:rsidRPr="000F6604">
              <w:rPr>
                <w:sz w:val="28"/>
                <w:szCs w:val="28"/>
              </w:rPr>
              <w:t>Обязательные условия договора:</w:t>
            </w:r>
          </w:p>
        </w:tc>
        <w:tc>
          <w:tcPr>
            <w:tcW w:w="6691" w:type="dxa"/>
            <w:shd w:val="clear" w:color="auto" w:fill="auto"/>
          </w:tcPr>
          <w:p w:rsidR="00F47BA9" w:rsidRPr="00F47BA9" w:rsidRDefault="00F47BA9" w:rsidP="00F47BA9">
            <w:pPr>
              <w:shd w:val="clear" w:color="auto" w:fill="FFFFFF" w:themeFill="background1"/>
              <w:jc w:val="both"/>
              <w:rPr>
                <w:rFonts w:eastAsia="A"/>
                <w:sz w:val="26"/>
                <w:szCs w:val="26"/>
              </w:rPr>
            </w:pPr>
            <w:r w:rsidRPr="00F47BA9">
              <w:rPr>
                <w:rFonts w:eastAsia="A"/>
                <w:sz w:val="26"/>
                <w:szCs w:val="26"/>
              </w:rPr>
              <w:t>Срок и условия поставки, порядок оплаты в соответствии с требованиями настоящих документов, меры ответственности за неисполнение договора, антикоррупционная оговорка согласно Приложению № 2 к Приглашению</w:t>
            </w:r>
          </w:p>
        </w:tc>
      </w:tr>
      <w:tr w:rsidR="00F47BA9" w:rsidRPr="00894759" w:rsidTr="00AE0C18">
        <w:tc>
          <w:tcPr>
            <w:tcW w:w="3119" w:type="dxa"/>
            <w:shd w:val="clear" w:color="auto" w:fill="auto"/>
            <w:vAlign w:val="center"/>
          </w:tcPr>
          <w:p w:rsidR="00F47BA9" w:rsidRPr="00894759" w:rsidRDefault="00F47BA9" w:rsidP="00F47BA9">
            <w:pPr>
              <w:shd w:val="clear" w:color="auto" w:fill="FFFFFF" w:themeFill="background1"/>
              <w:rPr>
                <w:rFonts w:eastAsia="A"/>
                <w:sz w:val="26"/>
                <w:szCs w:val="26"/>
                <w:highlight w:val="yellow"/>
              </w:rPr>
            </w:pPr>
            <w:r w:rsidRPr="00894759">
              <w:rPr>
                <w:rFonts w:eastAsia="A"/>
                <w:sz w:val="26"/>
                <w:szCs w:val="26"/>
              </w:rPr>
              <w:t>Обязательные условия к предоставлению коммерческого предложения:</w:t>
            </w:r>
          </w:p>
        </w:tc>
        <w:tc>
          <w:tcPr>
            <w:tcW w:w="6691" w:type="dxa"/>
            <w:shd w:val="clear" w:color="auto" w:fill="auto"/>
          </w:tcPr>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Не допускается предоставление коммерческого предложения с указанием диапазонов стоимости.</w:t>
            </w:r>
          </w:p>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Указанные в коммерческом предложении цены являются окончательными.</w:t>
            </w:r>
          </w:p>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47BA9" w:rsidRPr="00894759" w:rsidTr="00CD65E1">
        <w:tc>
          <w:tcPr>
            <w:tcW w:w="3119" w:type="dxa"/>
            <w:shd w:val="clear" w:color="auto" w:fill="auto"/>
            <w:vAlign w:val="center"/>
          </w:tcPr>
          <w:p w:rsidR="00F47BA9" w:rsidRPr="00894759" w:rsidRDefault="00F47BA9" w:rsidP="00F47BA9">
            <w:pPr>
              <w:shd w:val="clear" w:color="auto" w:fill="FFFFFF" w:themeFill="background1"/>
              <w:rPr>
                <w:rFonts w:eastAsia="A"/>
                <w:sz w:val="26"/>
                <w:szCs w:val="26"/>
                <w:highlight w:val="yellow"/>
              </w:rPr>
            </w:pPr>
            <w:r w:rsidRPr="00894759">
              <w:rPr>
                <w:rFonts w:eastAsia="A"/>
                <w:sz w:val="26"/>
                <w:szCs w:val="26"/>
              </w:rPr>
              <w:t>Требования Заказчика к оформлению коммерческого предложения:</w:t>
            </w:r>
          </w:p>
        </w:tc>
        <w:tc>
          <w:tcPr>
            <w:tcW w:w="6691" w:type="dxa"/>
            <w:shd w:val="clear" w:color="auto" w:fill="FFFFFF" w:themeFill="background1"/>
          </w:tcPr>
          <w:p w:rsidR="00F47BA9" w:rsidRPr="00894759" w:rsidRDefault="00F47BA9" w:rsidP="00F47BA9">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 быть представлено на фирменном бланке участника и содержать:</w:t>
            </w:r>
          </w:p>
          <w:p w:rsidR="00F47BA9" w:rsidRPr="00894759" w:rsidRDefault="00F47BA9" w:rsidP="00F47BA9">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полное наименование участника;</w:t>
            </w:r>
          </w:p>
          <w:p w:rsidR="00F47BA9" w:rsidRPr="00894759" w:rsidRDefault="00F47BA9" w:rsidP="00F47BA9">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сведения об организационно-правовой форме;</w:t>
            </w:r>
          </w:p>
          <w:p w:rsidR="00F47BA9" w:rsidRPr="00894759" w:rsidRDefault="00F47BA9" w:rsidP="00F47BA9">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юридический адрес участника, его почтовый адрес (в случае если он не совпадает с юридическим адресом);</w:t>
            </w:r>
          </w:p>
          <w:p w:rsidR="00F47BA9" w:rsidRPr="00894759" w:rsidRDefault="00F47BA9" w:rsidP="00F47BA9">
            <w:pPr>
              <w:pStyle w:val="a8"/>
              <w:numPr>
                <w:ilvl w:val="0"/>
                <w:numId w:val="3"/>
              </w:numPr>
              <w:autoSpaceDE w:val="0"/>
              <w:autoSpaceDN w:val="0"/>
              <w:adjustRightInd w:val="0"/>
              <w:jc w:val="both"/>
              <w:rPr>
                <w:rFonts w:eastAsia="A"/>
                <w:sz w:val="26"/>
                <w:szCs w:val="26"/>
              </w:rPr>
            </w:pPr>
            <w:r w:rsidRPr="00894759">
              <w:rPr>
                <w:rFonts w:eastAsia="A"/>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47BA9" w:rsidRPr="00894759" w:rsidRDefault="00F47BA9" w:rsidP="00F47BA9">
            <w:pPr>
              <w:pStyle w:val="a8"/>
              <w:numPr>
                <w:ilvl w:val="0"/>
                <w:numId w:val="3"/>
              </w:numPr>
              <w:autoSpaceDE w:val="0"/>
              <w:autoSpaceDN w:val="0"/>
              <w:adjustRightInd w:val="0"/>
              <w:jc w:val="both"/>
              <w:rPr>
                <w:rFonts w:eastAsia="A"/>
                <w:sz w:val="26"/>
                <w:szCs w:val="26"/>
              </w:rPr>
            </w:pPr>
            <w:r w:rsidRPr="00894759">
              <w:rPr>
                <w:rFonts w:eastAsia="A"/>
                <w:sz w:val="26"/>
                <w:szCs w:val="26"/>
              </w:rPr>
              <w:t>фамилию, имя и отчество (если таковое имеется) контактного лица (при наличии);</w:t>
            </w:r>
          </w:p>
          <w:p w:rsidR="00F47BA9" w:rsidRPr="00894759" w:rsidRDefault="00F47BA9" w:rsidP="00F47BA9">
            <w:pPr>
              <w:pStyle w:val="a8"/>
              <w:numPr>
                <w:ilvl w:val="0"/>
                <w:numId w:val="3"/>
              </w:numPr>
              <w:autoSpaceDE w:val="0"/>
              <w:autoSpaceDN w:val="0"/>
              <w:adjustRightInd w:val="0"/>
              <w:jc w:val="both"/>
              <w:rPr>
                <w:rFonts w:eastAsia="A"/>
                <w:sz w:val="26"/>
                <w:szCs w:val="26"/>
              </w:rPr>
            </w:pPr>
            <w:r w:rsidRPr="00894759">
              <w:rPr>
                <w:rFonts w:eastAsia="A"/>
                <w:sz w:val="26"/>
                <w:szCs w:val="26"/>
              </w:rPr>
              <w:t>адрес электронной почты (при наличии);</w:t>
            </w:r>
          </w:p>
          <w:p w:rsidR="00F47BA9" w:rsidRPr="00894759" w:rsidRDefault="00F47BA9" w:rsidP="00F47BA9">
            <w:pPr>
              <w:pStyle w:val="a8"/>
              <w:numPr>
                <w:ilvl w:val="0"/>
                <w:numId w:val="3"/>
              </w:numPr>
              <w:autoSpaceDE w:val="0"/>
              <w:autoSpaceDN w:val="0"/>
              <w:adjustRightInd w:val="0"/>
              <w:jc w:val="both"/>
              <w:rPr>
                <w:rFonts w:eastAsia="A"/>
                <w:sz w:val="26"/>
                <w:szCs w:val="26"/>
              </w:rPr>
            </w:pPr>
            <w:r w:rsidRPr="00894759">
              <w:rPr>
                <w:rFonts w:eastAsia="A"/>
                <w:sz w:val="26"/>
                <w:szCs w:val="26"/>
              </w:rPr>
              <w:t>номер телефона участника;</w:t>
            </w:r>
          </w:p>
          <w:p w:rsidR="00F47BA9" w:rsidRPr="00894759" w:rsidRDefault="00F47BA9" w:rsidP="00F47BA9">
            <w:pPr>
              <w:pStyle w:val="a8"/>
              <w:numPr>
                <w:ilvl w:val="0"/>
                <w:numId w:val="3"/>
              </w:numPr>
              <w:autoSpaceDE w:val="0"/>
              <w:autoSpaceDN w:val="0"/>
              <w:adjustRightInd w:val="0"/>
              <w:jc w:val="both"/>
              <w:rPr>
                <w:rFonts w:eastAsia="A"/>
                <w:sz w:val="26"/>
                <w:szCs w:val="26"/>
              </w:rPr>
            </w:pPr>
            <w:r w:rsidRPr="00894759">
              <w:rPr>
                <w:rFonts w:eastAsia="A"/>
                <w:sz w:val="26"/>
                <w:szCs w:val="26"/>
              </w:rPr>
              <w:t>общую стоимость закупки в белорусских рублях (BYN) с учетом НДС, с отражением стоимости работ, с разбивкой по отдельным видам:</w:t>
            </w:r>
          </w:p>
          <w:p w:rsidR="00F47BA9" w:rsidRPr="00894759" w:rsidRDefault="00F47BA9" w:rsidP="00F47BA9">
            <w:pPr>
              <w:pStyle w:val="a8"/>
              <w:autoSpaceDE w:val="0"/>
              <w:autoSpaceDN w:val="0"/>
              <w:adjustRightInd w:val="0"/>
              <w:ind w:left="780"/>
              <w:jc w:val="both"/>
              <w:rPr>
                <w:rFonts w:eastAsia="A"/>
                <w:sz w:val="26"/>
                <w:szCs w:val="26"/>
              </w:rPr>
            </w:pPr>
            <w:r w:rsidRPr="00894759">
              <w:rPr>
                <w:rFonts w:eastAsia="A"/>
                <w:sz w:val="26"/>
                <w:szCs w:val="26"/>
              </w:rPr>
              <w:t>- разработка проектно-сметной документации;</w:t>
            </w:r>
          </w:p>
          <w:p w:rsidR="00F47BA9" w:rsidRPr="00894759" w:rsidRDefault="00F47BA9" w:rsidP="00F47BA9">
            <w:pPr>
              <w:pStyle w:val="a8"/>
              <w:autoSpaceDE w:val="0"/>
              <w:autoSpaceDN w:val="0"/>
              <w:adjustRightInd w:val="0"/>
              <w:ind w:left="780"/>
              <w:jc w:val="both"/>
              <w:rPr>
                <w:rFonts w:eastAsia="A"/>
                <w:sz w:val="26"/>
                <w:szCs w:val="26"/>
              </w:rPr>
            </w:pPr>
            <w:r w:rsidRPr="00894759">
              <w:rPr>
                <w:rFonts w:eastAsia="A"/>
                <w:sz w:val="26"/>
                <w:szCs w:val="26"/>
              </w:rPr>
              <w:t>- выполнение строительно-монтажных работ;</w:t>
            </w:r>
          </w:p>
          <w:p w:rsidR="00F47BA9" w:rsidRPr="00894759" w:rsidRDefault="00F47BA9" w:rsidP="00F47BA9">
            <w:pPr>
              <w:pStyle w:val="a8"/>
              <w:autoSpaceDE w:val="0"/>
              <w:autoSpaceDN w:val="0"/>
              <w:adjustRightInd w:val="0"/>
              <w:ind w:left="780"/>
              <w:jc w:val="both"/>
              <w:rPr>
                <w:rFonts w:eastAsia="A"/>
                <w:sz w:val="26"/>
                <w:szCs w:val="26"/>
              </w:rPr>
            </w:pPr>
            <w:r w:rsidRPr="00894759">
              <w:rPr>
                <w:rFonts w:eastAsia="A"/>
                <w:sz w:val="26"/>
                <w:szCs w:val="26"/>
              </w:rPr>
              <w:t>- оборудование;</w:t>
            </w:r>
          </w:p>
          <w:p w:rsidR="00F47BA9" w:rsidRPr="00894759" w:rsidRDefault="00F47BA9" w:rsidP="00F47BA9">
            <w:pPr>
              <w:pStyle w:val="a8"/>
              <w:autoSpaceDE w:val="0"/>
              <w:autoSpaceDN w:val="0"/>
              <w:adjustRightInd w:val="0"/>
              <w:ind w:left="780"/>
              <w:jc w:val="both"/>
              <w:rPr>
                <w:rFonts w:eastAsia="A"/>
                <w:sz w:val="26"/>
                <w:szCs w:val="26"/>
              </w:rPr>
            </w:pPr>
            <w:r w:rsidRPr="00894759">
              <w:rPr>
                <w:rFonts w:eastAsia="A"/>
                <w:sz w:val="26"/>
                <w:szCs w:val="26"/>
              </w:rPr>
              <w:t>- порядок и условия оплаты;</w:t>
            </w:r>
          </w:p>
          <w:p w:rsidR="00F47BA9" w:rsidRPr="00894759" w:rsidRDefault="00F47BA9" w:rsidP="00F47BA9">
            <w:pPr>
              <w:pStyle w:val="a8"/>
              <w:numPr>
                <w:ilvl w:val="0"/>
                <w:numId w:val="3"/>
              </w:numPr>
              <w:autoSpaceDE w:val="0"/>
              <w:autoSpaceDN w:val="0"/>
              <w:adjustRightInd w:val="0"/>
              <w:jc w:val="both"/>
              <w:rPr>
                <w:rFonts w:eastAsia="A"/>
                <w:sz w:val="26"/>
                <w:szCs w:val="26"/>
              </w:rPr>
            </w:pPr>
            <w:r w:rsidRPr="00894759">
              <w:rPr>
                <w:rFonts w:eastAsia="A"/>
                <w:sz w:val="26"/>
                <w:szCs w:val="26"/>
              </w:rPr>
              <w:t>Спецификацию оборудования.</w:t>
            </w:r>
          </w:p>
          <w:p w:rsidR="00F47BA9" w:rsidRPr="00894759" w:rsidRDefault="00F47BA9" w:rsidP="00F47BA9">
            <w:pPr>
              <w:shd w:val="clear" w:color="auto" w:fill="FFFFFF" w:themeFill="background1"/>
              <w:autoSpaceDE w:val="0"/>
              <w:autoSpaceDN w:val="0"/>
              <w:adjustRightInd w:val="0"/>
              <w:ind w:firstLine="459"/>
              <w:jc w:val="both"/>
              <w:rPr>
                <w:rFonts w:eastAsia="A"/>
                <w:sz w:val="26"/>
                <w:szCs w:val="26"/>
              </w:rPr>
            </w:pPr>
            <w:r w:rsidRPr="00894759">
              <w:rPr>
                <w:rFonts w:eastAsia="A"/>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F47BA9" w:rsidRPr="00894759" w:rsidRDefault="00F47BA9" w:rsidP="00F47BA9">
            <w:pPr>
              <w:shd w:val="clear" w:color="auto" w:fill="FFFFFF" w:themeFill="background1"/>
              <w:autoSpaceDE w:val="0"/>
              <w:autoSpaceDN w:val="0"/>
              <w:adjustRightInd w:val="0"/>
              <w:ind w:firstLine="490"/>
              <w:jc w:val="both"/>
              <w:rPr>
                <w:rFonts w:eastAsia="A"/>
                <w:sz w:val="26"/>
                <w:szCs w:val="26"/>
              </w:rPr>
            </w:pPr>
            <w:r w:rsidRPr="00894759">
              <w:rPr>
                <w:rFonts w:eastAsia="A"/>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47BA9" w:rsidRPr="00894759" w:rsidRDefault="00F47BA9" w:rsidP="00F47BA9">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w:t>
            </w:r>
          </w:p>
          <w:p w:rsidR="00F47BA9" w:rsidRPr="00894759" w:rsidRDefault="00F47BA9" w:rsidP="00F47BA9">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иметь нумерацию страниц;</w:t>
            </w:r>
          </w:p>
          <w:p w:rsidR="00F47BA9" w:rsidRPr="00894759" w:rsidRDefault="00F47BA9" w:rsidP="00F47BA9">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 xml:space="preserve">быть подписано руководителем (уполномоченным должностным лицом); </w:t>
            </w:r>
          </w:p>
          <w:p w:rsidR="00F47BA9" w:rsidRPr="00894759" w:rsidRDefault="00F47BA9" w:rsidP="00F47BA9">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заверено печатью (при наличии).</w:t>
            </w:r>
          </w:p>
          <w:p w:rsidR="00F47BA9" w:rsidRPr="00894759" w:rsidRDefault="00F47BA9" w:rsidP="00F47BA9">
            <w:pPr>
              <w:shd w:val="clear" w:color="auto" w:fill="FFFFFF" w:themeFill="background1"/>
              <w:autoSpaceDE w:val="0"/>
              <w:autoSpaceDN w:val="0"/>
              <w:adjustRightInd w:val="0"/>
              <w:jc w:val="both"/>
              <w:rPr>
                <w:rFonts w:eastAsia="A"/>
                <w:sz w:val="26"/>
                <w:szCs w:val="26"/>
              </w:rPr>
            </w:pPr>
            <w:r w:rsidRPr="00894759">
              <w:rPr>
                <w:rFonts w:eastAsia="A"/>
                <w:sz w:val="26"/>
                <w:szCs w:val="26"/>
              </w:rPr>
              <w:t>Приложение к коммерческому предложению:</w:t>
            </w:r>
          </w:p>
          <w:p w:rsidR="00F47BA9" w:rsidRPr="00894759" w:rsidRDefault="00F47BA9" w:rsidP="00F47BA9">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свидетельство о государственной регистрации;</w:t>
            </w:r>
          </w:p>
          <w:p w:rsidR="00F47BA9" w:rsidRPr="00894759" w:rsidRDefault="00F47BA9" w:rsidP="00F47BA9">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сметный расчет</w:t>
            </w:r>
            <w:r w:rsidRPr="00894759">
              <w:rPr>
                <w:rFonts w:eastAsia="A"/>
                <w:sz w:val="26"/>
                <w:szCs w:val="26"/>
                <w:lang w:val="en-US"/>
              </w:rPr>
              <w:t>;</w:t>
            </w:r>
          </w:p>
          <w:p w:rsidR="00F47BA9" w:rsidRPr="00894759" w:rsidRDefault="00F47BA9" w:rsidP="00F47BA9">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спецификация оборудования</w:t>
            </w:r>
            <w:r w:rsidRPr="00894759">
              <w:rPr>
                <w:rFonts w:eastAsia="A"/>
                <w:sz w:val="26"/>
                <w:szCs w:val="26"/>
                <w:lang w:val="en-US"/>
              </w:rPr>
              <w:t>;</w:t>
            </w:r>
          </w:p>
          <w:p w:rsidR="00F47BA9" w:rsidRPr="00115E1E" w:rsidRDefault="00F47BA9" w:rsidP="00F47BA9">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согласие руководителя на предоставление сведений из информационных ресурсов Министерства внутренних дел Республики Беларусь по установленной форме (Приложение №</w:t>
            </w:r>
            <w:r>
              <w:rPr>
                <w:rFonts w:eastAsia="A"/>
                <w:sz w:val="26"/>
                <w:szCs w:val="26"/>
              </w:rPr>
              <w:t>3</w:t>
            </w:r>
            <w:r w:rsidRPr="00894759">
              <w:rPr>
                <w:rFonts w:eastAsia="A"/>
                <w:sz w:val="26"/>
                <w:szCs w:val="26"/>
              </w:rPr>
              <w:t xml:space="preserve"> к Приглашению)</w:t>
            </w:r>
          </w:p>
        </w:tc>
      </w:tr>
      <w:tr w:rsidR="00F47BA9" w:rsidRPr="00894759" w:rsidTr="00AE0C18">
        <w:tc>
          <w:tcPr>
            <w:tcW w:w="3119" w:type="dxa"/>
            <w:shd w:val="clear" w:color="auto" w:fill="auto"/>
            <w:vAlign w:val="center"/>
          </w:tcPr>
          <w:p w:rsidR="00F47BA9" w:rsidRPr="00894759" w:rsidRDefault="00F47BA9" w:rsidP="00F47BA9">
            <w:pPr>
              <w:shd w:val="clear" w:color="auto" w:fill="FFFFFF" w:themeFill="background1"/>
              <w:rPr>
                <w:rFonts w:eastAsia="A"/>
                <w:sz w:val="26"/>
                <w:szCs w:val="26"/>
                <w:highlight w:val="yellow"/>
              </w:rPr>
            </w:pPr>
            <w:r w:rsidRPr="00894759">
              <w:rPr>
                <w:rFonts w:eastAsia="A"/>
                <w:sz w:val="26"/>
                <w:szCs w:val="26"/>
              </w:rPr>
              <w:t xml:space="preserve">Требования по условиям оплаты: </w:t>
            </w:r>
          </w:p>
        </w:tc>
        <w:tc>
          <w:tcPr>
            <w:tcW w:w="6691" w:type="dxa"/>
            <w:shd w:val="clear" w:color="auto" w:fill="auto"/>
          </w:tcPr>
          <w:p w:rsidR="00F47BA9" w:rsidRPr="00894759" w:rsidRDefault="00F47BA9" w:rsidP="00F47BA9">
            <w:pPr>
              <w:shd w:val="clear" w:color="auto" w:fill="FFFFFF" w:themeFill="background1"/>
              <w:jc w:val="both"/>
              <w:rPr>
                <w:rFonts w:eastAsia="A"/>
                <w:sz w:val="26"/>
                <w:szCs w:val="26"/>
                <w:highlight w:val="yellow"/>
              </w:rPr>
            </w:pPr>
            <w:r w:rsidRPr="00894759">
              <w:rPr>
                <w:rFonts w:eastAsia="A"/>
                <w:sz w:val="26"/>
                <w:szCs w:val="26"/>
              </w:rPr>
              <w:t>В течение 10 (десяти) банковских дней с момента подписания актов выполненных работ</w:t>
            </w:r>
          </w:p>
        </w:tc>
      </w:tr>
      <w:tr w:rsidR="00F47BA9" w:rsidRPr="00894759" w:rsidTr="00AE0C18">
        <w:tc>
          <w:tcPr>
            <w:tcW w:w="3119" w:type="dxa"/>
            <w:shd w:val="clear" w:color="auto" w:fill="auto"/>
          </w:tcPr>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 xml:space="preserve">Наименование валюты предоставления коммерческих предложений:  </w:t>
            </w:r>
          </w:p>
        </w:tc>
        <w:tc>
          <w:tcPr>
            <w:tcW w:w="6691" w:type="dxa"/>
            <w:shd w:val="clear" w:color="auto" w:fill="auto"/>
          </w:tcPr>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Белорусские рубли (BYN)</w:t>
            </w:r>
          </w:p>
        </w:tc>
      </w:tr>
      <w:tr w:rsidR="00F47BA9" w:rsidRPr="00894759" w:rsidTr="008E1CBC">
        <w:tc>
          <w:tcPr>
            <w:tcW w:w="3119" w:type="dxa"/>
            <w:shd w:val="clear" w:color="auto" w:fill="auto"/>
            <w:vAlign w:val="center"/>
          </w:tcPr>
          <w:p w:rsidR="00F47BA9" w:rsidRPr="00894759" w:rsidRDefault="00F47BA9" w:rsidP="00F47BA9">
            <w:pPr>
              <w:shd w:val="clear" w:color="auto" w:fill="FFFFFF" w:themeFill="background1"/>
              <w:rPr>
                <w:rFonts w:eastAsia="A"/>
                <w:sz w:val="26"/>
                <w:szCs w:val="26"/>
                <w:highlight w:val="yellow"/>
              </w:rPr>
            </w:pPr>
            <w:r w:rsidRPr="00894759">
              <w:rPr>
                <w:rFonts w:eastAsia="A"/>
                <w:sz w:val="26"/>
                <w:szCs w:val="26"/>
              </w:rPr>
              <w:t>Способ предоставления коммерческих предложений:</w:t>
            </w:r>
          </w:p>
        </w:tc>
        <w:tc>
          <w:tcPr>
            <w:tcW w:w="6691" w:type="dxa"/>
            <w:shd w:val="clear" w:color="auto" w:fill="auto"/>
          </w:tcPr>
          <w:p w:rsidR="00F47BA9" w:rsidRPr="00894759" w:rsidRDefault="0049275E" w:rsidP="0049275E">
            <w:pPr>
              <w:shd w:val="clear" w:color="auto" w:fill="FFFFFF" w:themeFill="background1"/>
              <w:jc w:val="both"/>
              <w:rPr>
                <w:rFonts w:eastAsia="A"/>
                <w:sz w:val="26"/>
                <w:szCs w:val="26"/>
              </w:rPr>
            </w:pPr>
            <w:r w:rsidRPr="0049275E">
              <w:rPr>
                <w:sz w:val="26"/>
                <w:szCs w:val="26"/>
              </w:rPr>
              <w:t xml:space="preserve">Коммерческие предложения предоставляются Участниками на адрес электронной почты </w:t>
            </w:r>
            <w:r>
              <w:rPr>
                <w:sz w:val="26"/>
                <w:szCs w:val="26"/>
              </w:rPr>
              <w:t>Т</w:t>
            </w:r>
            <w:r w:rsidRPr="0049275E">
              <w:rPr>
                <w:sz w:val="26"/>
                <w:szCs w:val="26"/>
              </w:rPr>
              <w:t xml:space="preserve">enders@sber-bank.by с темой сообщения </w:t>
            </w:r>
            <w:r>
              <w:rPr>
                <w:sz w:val="26"/>
                <w:szCs w:val="26"/>
              </w:rPr>
              <w:t>«</w:t>
            </w:r>
            <w:r w:rsidRPr="0049275E">
              <w:rPr>
                <w:sz w:val="26"/>
                <w:szCs w:val="26"/>
              </w:rPr>
              <w:t>Выполнение работ (оказание услуг) по разработке проектно-сметной документации и монтажу систем безопасности»</w:t>
            </w:r>
          </w:p>
        </w:tc>
      </w:tr>
      <w:tr w:rsidR="00F47BA9" w:rsidRPr="00894759" w:rsidTr="00AE0C18">
        <w:trPr>
          <w:trHeight w:val="174"/>
        </w:trPr>
        <w:tc>
          <w:tcPr>
            <w:tcW w:w="3119" w:type="dxa"/>
            <w:shd w:val="clear" w:color="auto" w:fill="auto"/>
            <w:vAlign w:val="center"/>
          </w:tcPr>
          <w:p w:rsidR="00F47BA9" w:rsidRPr="00894759" w:rsidRDefault="00F47BA9" w:rsidP="00F47BA9">
            <w:pPr>
              <w:shd w:val="clear" w:color="auto" w:fill="FFFFFF" w:themeFill="background1"/>
              <w:rPr>
                <w:rFonts w:eastAsia="A"/>
                <w:sz w:val="26"/>
                <w:szCs w:val="26"/>
              </w:rPr>
            </w:pPr>
            <w:r w:rsidRPr="00894759">
              <w:rPr>
                <w:rFonts w:eastAsia="A"/>
                <w:sz w:val="26"/>
                <w:szCs w:val="26"/>
              </w:rPr>
              <w:t>Валюта заключения договора:</w:t>
            </w:r>
          </w:p>
        </w:tc>
        <w:tc>
          <w:tcPr>
            <w:tcW w:w="6691" w:type="dxa"/>
            <w:shd w:val="clear" w:color="auto" w:fill="auto"/>
          </w:tcPr>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Белорусский рубль (BYN)</w:t>
            </w:r>
          </w:p>
        </w:tc>
      </w:tr>
      <w:tr w:rsidR="00F47BA9" w:rsidRPr="00894759" w:rsidTr="00AE0C18">
        <w:tc>
          <w:tcPr>
            <w:tcW w:w="3119" w:type="dxa"/>
            <w:shd w:val="clear" w:color="auto" w:fill="auto"/>
            <w:vAlign w:val="center"/>
          </w:tcPr>
          <w:p w:rsidR="00F47BA9" w:rsidRPr="00894759" w:rsidRDefault="00F47BA9" w:rsidP="00F47BA9">
            <w:pPr>
              <w:shd w:val="clear" w:color="auto" w:fill="FFFFFF" w:themeFill="background1"/>
              <w:rPr>
                <w:rFonts w:eastAsia="A"/>
                <w:sz w:val="26"/>
                <w:szCs w:val="26"/>
              </w:rPr>
            </w:pPr>
            <w:r w:rsidRPr="00894759">
              <w:rPr>
                <w:rFonts w:eastAsia="A"/>
                <w:sz w:val="26"/>
                <w:szCs w:val="26"/>
              </w:rPr>
              <w:t>Контактное лицо по проведению процедуры закупки:</w:t>
            </w:r>
          </w:p>
        </w:tc>
        <w:tc>
          <w:tcPr>
            <w:tcW w:w="6691" w:type="dxa"/>
            <w:shd w:val="clear" w:color="auto" w:fill="auto"/>
          </w:tcPr>
          <w:p w:rsidR="00F47BA9" w:rsidRPr="00894759" w:rsidRDefault="00F47BA9" w:rsidP="00F47BA9">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предмету закупки:</w:t>
            </w:r>
          </w:p>
          <w:p w:rsidR="00F47BA9" w:rsidRPr="00894759" w:rsidRDefault="00F47BA9" w:rsidP="00F47BA9">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Каравай Андрей Сергеевич</w:t>
            </w:r>
          </w:p>
          <w:p w:rsidR="00F47BA9" w:rsidRPr="00894759" w:rsidRDefault="00F47BA9" w:rsidP="00F47BA9">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тел. +375 44 767-11-86</w:t>
            </w:r>
          </w:p>
          <w:p w:rsidR="00F47BA9" w:rsidRPr="00894759" w:rsidRDefault="00F47BA9" w:rsidP="00F47BA9">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процедуре закупки</w:t>
            </w:r>
            <w:r w:rsidR="0049275E">
              <w:rPr>
                <w:rFonts w:ascii="Times New Roman" w:eastAsia="A" w:hAnsi="Times New Roman"/>
                <w:sz w:val="26"/>
                <w:szCs w:val="26"/>
                <w:lang w:eastAsia="ru-RU"/>
              </w:rPr>
              <w:t>:</w:t>
            </w:r>
          </w:p>
          <w:p w:rsidR="00F47BA9" w:rsidRPr="00894759" w:rsidRDefault="00F47BA9" w:rsidP="00F47BA9">
            <w:pPr>
              <w:pStyle w:val="a4"/>
              <w:widowControl w:val="0"/>
              <w:jc w:val="both"/>
              <w:rPr>
                <w:rFonts w:ascii="Times New Roman" w:hAnsi="Times New Roman"/>
                <w:sz w:val="26"/>
                <w:szCs w:val="26"/>
              </w:rPr>
            </w:pPr>
            <w:r>
              <w:rPr>
                <w:rFonts w:ascii="Times New Roman" w:hAnsi="Times New Roman"/>
                <w:sz w:val="26"/>
                <w:szCs w:val="26"/>
              </w:rPr>
              <w:t>Даревская</w:t>
            </w:r>
            <w:r w:rsidRPr="00894759">
              <w:rPr>
                <w:rFonts w:ascii="Times New Roman" w:hAnsi="Times New Roman"/>
                <w:sz w:val="26"/>
                <w:szCs w:val="26"/>
              </w:rPr>
              <w:t xml:space="preserve"> </w:t>
            </w:r>
            <w:r>
              <w:rPr>
                <w:rFonts w:ascii="Times New Roman" w:hAnsi="Times New Roman"/>
                <w:sz w:val="26"/>
                <w:szCs w:val="26"/>
              </w:rPr>
              <w:t>Вероника Андреевна</w:t>
            </w:r>
          </w:p>
          <w:p w:rsidR="00F47BA9" w:rsidRPr="00894759" w:rsidRDefault="00F47BA9" w:rsidP="00F47BA9">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hAnsi="Times New Roman"/>
                <w:sz w:val="26"/>
                <w:szCs w:val="26"/>
              </w:rPr>
              <w:t>тел. +375 17 359-</w:t>
            </w:r>
            <w:r>
              <w:rPr>
                <w:rFonts w:ascii="Times New Roman" w:hAnsi="Times New Roman"/>
                <w:sz w:val="26"/>
                <w:szCs w:val="26"/>
              </w:rPr>
              <w:t>91</w:t>
            </w:r>
            <w:r w:rsidRPr="00894759">
              <w:rPr>
                <w:rFonts w:ascii="Times New Roman" w:hAnsi="Times New Roman"/>
                <w:sz w:val="26"/>
                <w:szCs w:val="26"/>
              </w:rPr>
              <w:t>-</w:t>
            </w:r>
            <w:r>
              <w:rPr>
                <w:rFonts w:ascii="Times New Roman" w:hAnsi="Times New Roman"/>
                <w:sz w:val="26"/>
                <w:szCs w:val="26"/>
              </w:rPr>
              <w:t>31</w:t>
            </w:r>
          </w:p>
        </w:tc>
      </w:tr>
      <w:tr w:rsidR="00F47BA9" w:rsidRPr="00894759" w:rsidTr="00AE0C18">
        <w:trPr>
          <w:trHeight w:val="655"/>
        </w:trPr>
        <w:tc>
          <w:tcPr>
            <w:tcW w:w="3119" w:type="dxa"/>
            <w:shd w:val="clear" w:color="auto" w:fill="auto"/>
            <w:vAlign w:val="center"/>
          </w:tcPr>
          <w:p w:rsidR="00F47BA9" w:rsidRPr="00894759" w:rsidRDefault="00F47BA9" w:rsidP="00F47BA9">
            <w:pPr>
              <w:shd w:val="clear" w:color="auto" w:fill="FFFFFF" w:themeFill="background1"/>
              <w:rPr>
                <w:rFonts w:eastAsia="A"/>
                <w:sz w:val="26"/>
                <w:szCs w:val="26"/>
              </w:rPr>
            </w:pPr>
            <w:r w:rsidRPr="00894759">
              <w:rPr>
                <w:rFonts w:eastAsia="A"/>
                <w:sz w:val="26"/>
                <w:szCs w:val="26"/>
              </w:rPr>
              <w:t>Срок предоставления:</w:t>
            </w:r>
          </w:p>
        </w:tc>
        <w:tc>
          <w:tcPr>
            <w:tcW w:w="6691" w:type="dxa"/>
            <w:shd w:val="clear" w:color="auto" w:fill="auto"/>
            <w:vAlign w:val="center"/>
          </w:tcPr>
          <w:p w:rsidR="00F47BA9" w:rsidRPr="00894759" w:rsidRDefault="00F47BA9" w:rsidP="00C704D9">
            <w:pPr>
              <w:pStyle w:val="a4"/>
              <w:widowControl w:val="0"/>
              <w:shd w:val="clear" w:color="auto" w:fill="FFFFFF" w:themeFill="background1"/>
              <w:jc w:val="both"/>
              <w:rPr>
                <w:rFonts w:ascii="Times New Roman" w:eastAsia="A" w:hAnsi="Times New Roman"/>
                <w:sz w:val="26"/>
                <w:szCs w:val="26"/>
                <w:lang w:eastAsia="ru-RU"/>
              </w:rPr>
            </w:pPr>
            <w:r w:rsidRPr="00EB72F9">
              <w:rPr>
                <w:rFonts w:ascii="Times New Roman" w:hAnsi="Times New Roman"/>
                <w:sz w:val="26"/>
                <w:szCs w:val="26"/>
              </w:rPr>
              <w:t xml:space="preserve">до </w:t>
            </w:r>
            <w:r w:rsidR="00C704D9">
              <w:rPr>
                <w:rFonts w:ascii="Times New Roman" w:hAnsi="Times New Roman"/>
                <w:sz w:val="26"/>
                <w:szCs w:val="26"/>
              </w:rPr>
              <w:t>17</w:t>
            </w:r>
            <w:r w:rsidRPr="00EB72F9">
              <w:rPr>
                <w:rFonts w:ascii="Times New Roman" w:hAnsi="Times New Roman"/>
                <w:sz w:val="26"/>
                <w:szCs w:val="26"/>
              </w:rPr>
              <w:t xml:space="preserve"> часов </w:t>
            </w:r>
            <w:r w:rsidR="00C704D9">
              <w:rPr>
                <w:rFonts w:ascii="Times New Roman" w:hAnsi="Times New Roman"/>
                <w:sz w:val="26"/>
                <w:szCs w:val="26"/>
              </w:rPr>
              <w:t>30</w:t>
            </w:r>
            <w:r w:rsidRPr="00EB72F9">
              <w:rPr>
                <w:rFonts w:ascii="Times New Roman" w:hAnsi="Times New Roman"/>
                <w:sz w:val="26"/>
                <w:szCs w:val="26"/>
              </w:rPr>
              <w:t xml:space="preserve"> минут </w:t>
            </w:r>
            <w:r w:rsidR="00C704D9">
              <w:rPr>
                <w:rFonts w:ascii="Times New Roman" w:hAnsi="Times New Roman"/>
                <w:sz w:val="26"/>
                <w:szCs w:val="26"/>
              </w:rPr>
              <w:t>30</w:t>
            </w:r>
            <w:bookmarkStart w:id="0" w:name="_GoBack"/>
            <w:bookmarkEnd w:id="0"/>
            <w:r w:rsidRPr="00EB72F9">
              <w:rPr>
                <w:rFonts w:ascii="Times New Roman" w:hAnsi="Times New Roman"/>
                <w:sz w:val="26"/>
                <w:szCs w:val="26"/>
              </w:rPr>
              <w:t xml:space="preserve"> апреля 2025 г.</w:t>
            </w:r>
          </w:p>
        </w:tc>
      </w:tr>
    </w:tbl>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Изменение стоимости предмета закупки, указанной в предложении, возможно только при проведении переговоров по снижению цены.</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Перечень приложений: </w:t>
      </w:r>
    </w:p>
    <w:p w:rsidR="001F34E4" w:rsidRPr="00894759" w:rsidRDefault="001F34E4" w:rsidP="001F34E4">
      <w:pPr>
        <w:pStyle w:val="ConsPlusNormal"/>
        <w:shd w:val="clear" w:color="auto" w:fill="FFFFFF" w:themeFill="background1"/>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 Приложение № 1 Техническое задание на </w:t>
      </w:r>
      <w:r w:rsidR="00F47BA9" w:rsidRPr="00F47BA9">
        <w:rPr>
          <w:rFonts w:ascii="Times New Roman" w:eastAsia="A" w:hAnsi="Times New Roman" w:cs="Times New Roman"/>
          <w:sz w:val="26"/>
          <w:szCs w:val="26"/>
        </w:rPr>
        <w:t>6</w:t>
      </w:r>
      <w:r w:rsidRPr="00894759">
        <w:rPr>
          <w:rFonts w:ascii="Times New Roman" w:eastAsia="A" w:hAnsi="Times New Roman" w:cs="Times New Roman"/>
          <w:sz w:val="26"/>
          <w:szCs w:val="26"/>
        </w:rPr>
        <w:t xml:space="preserve"> л. в 1 экз.;</w:t>
      </w:r>
    </w:p>
    <w:p w:rsidR="001F34E4" w:rsidRPr="00C80705" w:rsidRDefault="001F34E4" w:rsidP="001F34E4">
      <w:pPr>
        <w:shd w:val="clear" w:color="auto" w:fill="FFFFFF" w:themeFill="background1"/>
        <w:rPr>
          <w:rFonts w:eastAsia="A"/>
          <w:sz w:val="26"/>
          <w:szCs w:val="26"/>
        </w:rPr>
      </w:pPr>
      <w:r w:rsidRPr="00894759">
        <w:rPr>
          <w:rFonts w:eastAsia="A"/>
          <w:sz w:val="26"/>
          <w:szCs w:val="26"/>
        </w:rPr>
        <w:t xml:space="preserve">- Приложение № </w:t>
      </w:r>
      <w:r w:rsidR="00F47BA9">
        <w:rPr>
          <w:rFonts w:eastAsia="A"/>
          <w:sz w:val="26"/>
          <w:szCs w:val="26"/>
        </w:rPr>
        <w:t>2</w:t>
      </w:r>
      <w:r w:rsidR="00FD05C5" w:rsidRPr="00894759">
        <w:rPr>
          <w:rFonts w:eastAsia="A"/>
          <w:sz w:val="26"/>
          <w:szCs w:val="26"/>
        </w:rPr>
        <w:t xml:space="preserve"> </w:t>
      </w:r>
      <w:r w:rsidRPr="00894759">
        <w:rPr>
          <w:rFonts w:eastAsia="A"/>
          <w:sz w:val="26"/>
          <w:szCs w:val="26"/>
        </w:rPr>
        <w:t>Антикоррупцио</w:t>
      </w:r>
      <w:r w:rsidR="00FD05C5" w:rsidRPr="00894759">
        <w:rPr>
          <w:rFonts w:eastAsia="A"/>
          <w:sz w:val="26"/>
          <w:szCs w:val="26"/>
        </w:rPr>
        <w:t>нная оговорка</w:t>
      </w:r>
      <w:r w:rsidRPr="00894759">
        <w:rPr>
          <w:rFonts w:eastAsia="A"/>
          <w:sz w:val="26"/>
          <w:szCs w:val="26"/>
        </w:rPr>
        <w:t xml:space="preserve"> на 2 л. в 1 экз.</w:t>
      </w:r>
    </w:p>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 xml:space="preserve">- Приложение № </w:t>
      </w:r>
      <w:r>
        <w:rPr>
          <w:rFonts w:eastAsia="A"/>
          <w:sz w:val="26"/>
          <w:szCs w:val="26"/>
        </w:rPr>
        <w:t>3</w:t>
      </w:r>
      <w:r w:rsidRPr="00894759">
        <w:rPr>
          <w:rFonts w:eastAsia="A"/>
          <w:sz w:val="26"/>
          <w:szCs w:val="26"/>
        </w:rPr>
        <w:t xml:space="preserve"> Согласие на предоставление сведений на </w:t>
      </w:r>
      <w:r w:rsidR="00EB72F9">
        <w:rPr>
          <w:rFonts w:eastAsia="A"/>
          <w:sz w:val="26"/>
          <w:szCs w:val="26"/>
        </w:rPr>
        <w:t>2</w:t>
      </w:r>
      <w:r w:rsidR="007F4A19">
        <w:rPr>
          <w:rFonts w:eastAsia="A"/>
          <w:sz w:val="26"/>
          <w:szCs w:val="26"/>
        </w:rPr>
        <w:t xml:space="preserve"> л. в 1 экз.</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Pr="00766DF9" w:rsidRDefault="00EB72F9" w:rsidP="00894759">
      <w:pPr>
        <w:shd w:val="clear" w:color="auto" w:fill="FFFFFF" w:themeFill="background1"/>
        <w:tabs>
          <w:tab w:val="right" w:pos="9638"/>
        </w:tabs>
        <w:spacing w:before="240"/>
        <w:jc w:val="both"/>
        <w:rPr>
          <w:sz w:val="28"/>
          <w:szCs w:val="28"/>
        </w:rPr>
      </w:pPr>
      <w:r w:rsidRPr="00EB72F9">
        <w:rPr>
          <w:sz w:val="28"/>
          <w:szCs w:val="28"/>
        </w:rPr>
        <w:t>Менеджер по направлению деятельности</w:t>
      </w:r>
      <w:r w:rsidR="00894759" w:rsidRPr="00766DF9">
        <w:rPr>
          <w:sz w:val="28"/>
          <w:szCs w:val="28"/>
        </w:rPr>
        <w:tab/>
      </w:r>
      <w:r>
        <w:rPr>
          <w:sz w:val="28"/>
          <w:szCs w:val="28"/>
        </w:rPr>
        <w:t>И.М.Трасковский</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1F34E4" w:rsidRDefault="001F34E4" w:rsidP="001F34E4">
      <w:pPr>
        <w:shd w:val="clear" w:color="auto" w:fill="FFFFFF" w:themeFill="background1"/>
        <w:tabs>
          <w:tab w:val="right" w:pos="9638"/>
        </w:tabs>
        <w:spacing w:before="240"/>
        <w:jc w:val="both"/>
        <w:rPr>
          <w:sz w:val="28"/>
          <w:szCs w:val="28"/>
        </w:rPr>
      </w:pPr>
    </w:p>
    <w:p w:rsidR="001F34E4" w:rsidRDefault="001F34E4" w:rsidP="001F34E4">
      <w:pPr>
        <w:shd w:val="clear" w:color="auto" w:fill="FFFFFF" w:themeFill="background1"/>
        <w:tabs>
          <w:tab w:val="right" w:pos="9638"/>
        </w:tabs>
        <w:spacing w:before="240"/>
        <w:jc w:val="both"/>
        <w:rPr>
          <w:rFonts w:eastAsia="A"/>
          <w:sz w:val="28"/>
          <w:szCs w:val="28"/>
        </w:rPr>
        <w:sectPr w:rsidR="001F34E4" w:rsidSect="00C935FB">
          <w:headerReference w:type="default" r:id="rId8"/>
          <w:pgSz w:w="11906" w:h="16838"/>
          <w:pgMar w:top="851" w:right="567" w:bottom="709" w:left="1701" w:header="709" w:footer="709" w:gutter="0"/>
          <w:cols w:space="708"/>
          <w:titlePg/>
          <w:docGrid w:linePitch="360"/>
        </w:sectPr>
      </w:pPr>
    </w:p>
    <w:p w:rsidR="001F34E4" w:rsidRPr="006C237A" w:rsidRDefault="008F6D1C" w:rsidP="008F6D1C">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t>Приложение № </w:t>
      </w:r>
      <w:r w:rsidR="001F34E4">
        <w:rPr>
          <w:rFonts w:cs="Times New Roman"/>
          <w:b w:val="0"/>
          <w:sz w:val="28"/>
          <w:szCs w:val="28"/>
        </w:rPr>
        <w:t>1</w:t>
      </w:r>
      <w:r w:rsidR="00894759">
        <w:rPr>
          <w:rFonts w:cs="Times New Roman"/>
          <w:b w:val="0"/>
          <w:sz w:val="28"/>
          <w:szCs w:val="28"/>
        </w:rPr>
        <w:t xml:space="preserve"> к Приглашению</w:t>
      </w:r>
    </w:p>
    <w:p w:rsidR="001F34E4" w:rsidRDefault="001F34E4" w:rsidP="005540A1">
      <w:pPr>
        <w:pStyle w:val="1"/>
        <w:numPr>
          <w:ilvl w:val="0"/>
          <w:numId w:val="0"/>
        </w:numPr>
        <w:shd w:val="clear" w:color="auto" w:fill="FFFFFF" w:themeFill="background1"/>
        <w:spacing w:before="0" w:after="0"/>
        <w:ind w:right="-1"/>
        <w:jc w:val="right"/>
        <w:rPr>
          <w:rFonts w:cs="Times New Roman"/>
          <w:b w:val="0"/>
          <w:sz w:val="28"/>
          <w:szCs w:val="28"/>
        </w:rPr>
      </w:pPr>
    </w:p>
    <w:p w:rsidR="001F34E4" w:rsidRDefault="00FD05C5" w:rsidP="00C80705">
      <w:pPr>
        <w:widowControl w:val="0"/>
        <w:ind w:right="-1"/>
        <w:jc w:val="center"/>
        <w:rPr>
          <w:b/>
          <w:sz w:val="28"/>
          <w:szCs w:val="28"/>
        </w:rPr>
      </w:pPr>
      <w:r w:rsidRPr="00894759">
        <w:rPr>
          <w:b/>
          <w:sz w:val="28"/>
          <w:szCs w:val="28"/>
        </w:rPr>
        <w:t>Техническое задание</w:t>
      </w:r>
      <w:r w:rsidR="00894759" w:rsidRPr="00894759">
        <w:rPr>
          <w:b/>
          <w:sz w:val="28"/>
          <w:szCs w:val="28"/>
        </w:rPr>
        <w:t xml:space="preserve"> (Лот № 1)</w:t>
      </w:r>
    </w:p>
    <w:p w:rsidR="00993A0F" w:rsidRDefault="00993A0F" w:rsidP="00F93B00"/>
    <w:p w:rsidR="00C80705" w:rsidRDefault="00C80705" w:rsidP="00F93B00">
      <w:r>
        <w:rPr>
          <w:noProof/>
          <w:lang w:eastAsia="ru-RU"/>
        </w:rPr>
        <w:drawing>
          <wp:inline distT="0" distB="0" distL="0" distR="0" wp14:anchorId="26402AAA" wp14:editId="59766B75">
            <wp:extent cx="9521825" cy="5831840"/>
            <wp:effectExtent l="19050" t="19050" r="22225" b="165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21825" cy="5831840"/>
                    </a:xfrm>
                    <a:prstGeom prst="rect">
                      <a:avLst/>
                    </a:prstGeom>
                    <a:ln w="6350">
                      <a:solidFill>
                        <a:schemeClr val="tx1"/>
                      </a:solidFill>
                    </a:ln>
                  </pic:spPr>
                </pic:pic>
              </a:graphicData>
            </a:graphic>
          </wp:inline>
        </w:drawing>
      </w:r>
    </w:p>
    <w:p w:rsidR="00C80705" w:rsidRDefault="00C80705" w:rsidP="00F93B00">
      <w:r>
        <w:rPr>
          <w:noProof/>
          <w:lang w:eastAsia="ru-RU"/>
        </w:rPr>
        <w:drawing>
          <wp:inline distT="0" distB="0" distL="0" distR="0" wp14:anchorId="40D7BF30" wp14:editId="60C53C3D">
            <wp:extent cx="9521825" cy="5939155"/>
            <wp:effectExtent l="19050" t="19050" r="22225" b="2349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21825" cy="5939155"/>
                    </a:xfrm>
                    <a:prstGeom prst="rect">
                      <a:avLst/>
                    </a:prstGeom>
                    <a:ln w="9525">
                      <a:solidFill>
                        <a:schemeClr val="tx1"/>
                      </a:solidFill>
                    </a:ln>
                  </pic:spPr>
                </pic:pic>
              </a:graphicData>
            </a:graphic>
          </wp:inline>
        </w:drawing>
      </w:r>
    </w:p>
    <w:p w:rsidR="00C80705" w:rsidRDefault="00C80705">
      <w:r>
        <w:br w:type="page"/>
      </w:r>
    </w:p>
    <w:p w:rsidR="00C80705" w:rsidRDefault="00C80705" w:rsidP="00C80705">
      <w:pPr>
        <w:widowControl w:val="0"/>
        <w:ind w:right="-1"/>
        <w:jc w:val="center"/>
        <w:rPr>
          <w:b/>
          <w:sz w:val="28"/>
          <w:szCs w:val="28"/>
        </w:rPr>
      </w:pPr>
      <w:r w:rsidRPr="00894759">
        <w:rPr>
          <w:b/>
          <w:sz w:val="28"/>
          <w:szCs w:val="28"/>
        </w:rPr>
        <w:t>Техническое задание (Лот №</w:t>
      </w:r>
      <w:r>
        <w:rPr>
          <w:b/>
          <w:sz w:val="28"/>
          <w:szCs w:val="28"/>
        </w:rPr>
        <w:t>2</w:t>
      </w:r>
      <w:r w:rsidRPr="00894759">
        <w:rPr>
          <w:b/>
          <w:sz w:val="28"/>
          <w:szCs w:val="28"/>
        </w:rPr>
        <w:t>)</w:t>
      </w:r>
    </w:p>
    <w:p w:rsidR="00C80705" w:rsidRDefault="00C80705" w:rsidP="00F93B00"/>
    <w:p w:rsidR="00C80705" w:rsidRDefault="00C80705" w:rsidP="00F93B00">
      <w:r>
        <w:rPr>
          <w:noProof/>
          <w:lang w:eastAsia="ru-RU"/>
        </w:rPr>
        <w:drawing>
          <wp:inline distT="0" distB="0" distL="0" distR="0" wp14:anchorId="2A1AD8DD" wp14:editId="0BB3BE04">
            <wp:extent cx="9080500" cy="5900659"/>
            <wp:effectExtent l="19050" t="19050" r="25400" b="2413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94694" cy="5909882"/>
                    </a:xfrm>
                    <a:prstGeom prst="rect">
                      <a:avLst/>
                    </a:prstGeom>
                    <a:ln w="6350">
                      <a:solidFill>
                        <a:schemeClr val="tx1"/>
                      </a:solidFill>
                    </a:ln>
                  </pic:spPr>
                </pic:pic>
              </a:graphicData>
            </a:graphic>
          </wp:inline>
        </w:drawing>
      </w:r>
      <w:r>
        <w:br w:type="page"/>
      </w:r>
      <w:r>
        <w:rPr>
          <w:noProof/>
          <w:lang w:eastAsia="ru-RU"/>
        </w:rPr>
        <w:drawing>
          <wp:inline distT="0" distB="0" distL="0" distR="0" wp14:anchorId="3FF776EF" wp14:editId="5095FBBB">
            <wp:extent cx="9521825" cy="5502910"/>
            <wp:effectExtent l="19050" t="19050" r="22225" b="2159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21825" cy="5502910"/>
                    </a:xfrm>
                    <a:prstGeom prst="rect">
                      <a:avLst/>
                    </a:prstGeom>
                    <a:ln w="9525">
                      <a:solidFill>
                        <a:schemeClr val="tx1"/>
                      </a:solidFill>
                    </a:ln>
                  </pic:spPr>
                </pic:pic>
              </a:graphicData>
            </a:graphic>
          </wp:inline>
        </w:drawing>
      </w:r>
    </w:p>
    <w:p w:rsidR="00C80705" w:rsidRDefault="00C80705">
      <w:r>
        <w:br w:type="page"/>
      </w:r>
    </w:p>
    <w:p w:rsidR="00C80705" w:rsidRDefault="00C80705" w:rsidP="00C80705">
      <w:pPr>
        <w:widowControl w:val="0"/>
        <w:ind w:right="-1"/>
        <w:jc w:val="center"/>
        <w:rPr>
          <w:b/>
          <w:sz w:val="28"/>
          <w:szCs w:val="28"/>
        </w:rPr>
      </w:pPr>
      <w:r w:rsidRPr="00894759">
        <w:rPr>
          <w:b/>
          <w:sz w:val="28"/>
          <w:szCs w:val="28"/>
        </w:rPr>
        <w:t>Техническое задание (Лот №</w:t>
      </w:r>
      <w:r>
        <w:rPr>
          <w:b/>
          <w:sz w:val="28"/>
          <w:szCs w:val="28"/>
        </w:rPr>
        <w:t>3</w:t>
      </w:r>
      <w:r w:rsidRPr="00894759">
        <w:rPr>
          <w:b/>
          <w:sz w:val="28"/>
          <w:szCs w:val="28"/>
        </w:rPr>
        <w:t>)</w:t>
      </w:r>
    </w:p>
    <w:p w:rsidR="00C80705" w:rsidRDefault="00C80705" w:rsidP="00C80705"/>
    <w:p w:rsidR="00EB72F9" w:rsidRDefault="00C80705" w:rsidP="00C80705">
      <w:r>
        <w:rPr>
          <w:noProof/>
          <w:lang w:eastAsia="ru-RU"/>
        </w:rPr>
        <w:drawing>
          <wp:inline distT="0" distB="0" distL="0" distR="0" wp14:anchorId="08CDE6C6" wp14:editId="1D0036D3">
            <wp:extent cx="8923283" cy="5907088"/>
            <wp:effectExtent l="19050" t="19050" r="11430" b="1778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925458" cy="5908528"/>
                    </a:xfrm>
                    <a:prstGeom prst="rect">
                      <a:avLst/>
                    </a:prstGeom>
                    <a:ln w="6350">
                      <a:solidFill>
                        <a:schemeClr val="tx1"/>
                      </a:solidFill>
                    </a:ln>
                  </pic:spPr>
                </pic:pic>
              </a:graphicData>
            </a:graphic>
          </wp:inline>
        </w:drawing>
      </w:r>
    </w:p>
    <w:p w:rsidR="00C80705" w:rsidRDefault="00EB72F9" w:rsidP="00C80705">
      <w:pPr>
        <w:sectPr w:rsidR="00C80705" w:rsidSect="00C80705">
          <w:pgSz w:w="16838" w:h="11906" w:orient="landscape"/>
          <w:pgMar w:top="709" w:right="1134" w:bottom="566" w:left="709" w:header="709" w:footer="709" w:gutter="0"/>
          <w:cols w:space="708"/>
          <w:titlePg/>
          <w:docGrid w:linePitch="360"/>
        </w:sectPr>
      </w:pPr>
      <w:r>
        <w:br w:type="page"/>
      </w:r>
      <w:r>
        <w:rPr>
          <w:noProof/>
          <w:lang w:eastAsia="ru-RU"/>
        </w:rPr>
        <w:drawing>
          <wp:inline distT="0" distB="0" distL="0" distR="0" wp14:anchorId="03C8FE63" wp14:editId="7D31C6F8">
            <wp:extent cx="9258300" cy="6219825"/>
            <wp:effectExtent l="19050" t="19050" r="19050" b="2857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258300" cy="6219825"/>
                    </a:xfrm>
                    <a:prstGeom prst="rect">
                      <a:avLst/>
                    </a:prstGeom>
                    <a:ln w="6350">
                      <a:solidFill>
                        <a:schemeClr val="tx1"/>
                      </a:solidFill>
                    </a:ln>
                  </pic:spPr>
                </pic:pic>
              </a:graphicData>
            </a:graphic>
          </wp:inline>
        </w:drawing>
      </w:r>
    </w:p>
    <w:p w:rsidR="00F47BA9" w:rsidRPr="006C237A" w:rsidRDefault="00F47BA9" w:rsidP="00F47BA9">
      <w:pPr>
        <w:shd w:val="clear" w:color="auto" w:fill="FFFFFF" w:themeFill="background1"/>
        <w:ind w:right="45"/>
        <w:jc w:val="right"/>
        <w:rPr>
          <w:sz w:val="28"/>
          <w:szCs w:val="28"/>
        </w:rPr>
      </w:pPr>
      <w:r w:rsidRPr="006C237A">
        <w:rPr>
          <w:sz w:val="28"/>
          <w:szCs w:val="28"/>
        </w:rPr>
        <w:t>Приложен</w:t>
      </w:r>
      <w:r>
        <w:rPr>
          <w:sz w:val="28"/>
          <w:szCs w:val="28"/>
        </w:rPr>
        <w:t>ие № 2</w:t>
      </w:r>
    </w:p>
    <w:p w:rsidR="00F47BA9" w:rsidRPr="006C237A" w:rsidRDefault="00F47BA9" w:rsidP="00F47BA9">
      <w:pPr>
        <w:shd w:val="clear" w:color="auto" w:fill="FFFFFF" w:themeFill="background1"/>
        <w:ind w:right="45"/>
        <w:jc w:val="both"/>
        <w:rPr>
          <w:sz w:val="28"/>
          <w:szCs w:val="28"/>
        </w:rPr>
      </w:pPr>
    </w:p>
    <w:p w:rsidR="00F47BA9" w:rsidRPr="006C237A" w:rsidRDefault="00F47BA9" w:rsidP="00F47BA9">
      <w:pPr>
        <w:shd w:val="clear" w:color="auto" w:fill="FFFFFF" w:themeFill="background1"/>
        <w:ind w:right="45" w:firstLine="708"/>
        <w:jc w:val="center"/>
        <w:rPr>
          <w:sz w:val="28"/>
          <w:szCs w:val="28"/>
        </w:rPr>
      </w:pPr>
      <w:r w:rsidRPr="006C237A">
        <w:rPr>
          <w:sz w:val="28"/>
          <w:szCs w:val="28"/>
        </w:rPr>
        <w:t>Антикоррупционная оговорка</w:t>
      </w:r>
    </w:p>
    <w:p w:rsidR="00F47BA9" w:rsidRPr="006C237A" w:rsidRDefault="00F47BA9" w:rsidP="00F47BA9">
      <w:pPr>
        <w:shd w:val="clear" w:color="auto" w:fill="FFFFFF" w:themeFill="background1"/>
        <w:ind w:right="45"/>
        <w:jc w:val="both"/>
        <w:rPr>
          <w:sz w:val="28"/>
          <w:szCs w:val="28"/>
        </w:rPr>
      </w:pP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При заключении, исполнении, изменении и расторжении Договора</w:t>
      </w:r>
      <w:r w:rsidRPr="006C237A">
        <w:rPr>
          <w:iCs/>
          <w:sz w:val="28"/>
          <w:szCs w:val="28"/>
          <w:vertAlign w:val="superscript"/>
        </w:rPr>
        <w:footnoteReference w:id="1"/>
      </w:r>
      <w:r w:rsidRPr="006C237A">
        <w:rPr>
          <w:iCs/>
          <w:sz w:val="28"/>
          <w:szCs w:val="28"/>
        </w:rPr>
        <w:t xml:space="preserve"> Стороны принимают на себя следующие обязательства:</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C237A" w:rsidDel="002A25C9">
        <w:rPr>
          <w:iCs/>
          <w:sz w:val="28"/>
          <w:szCs w:val="28"/>
        </w:rPr>
        <w:t xml:space="preserve"> </w:t>
      </w:r>
      <w:r w:rsidRPr="006C237A">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47BA9" w:rsidRDefault="00F47BA9" w:rsidP="00F47BA9">
      <w:pPr>
        <w:shd w:val="clear" w:color="auto" w:fill="FFFFFF" w:themeFill="background1"/>
        <w:ind w:right="45" w:firstLine="709"/>
        <w:contextualSpacing/>
        <w:jc w:val="both"/>
        <w:rPr>
          <w:iCs/>
          <w:sz w:val="28"/>
          <w:szCs w:val="28"/>
        </w:rPr>
      </w:pPr>
      <w:r w:rsidRPr="006C237A">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47BA9" w:rsidRDefault="00F47BA9">
      <w:pPr>
        <w:rPr>
          <w:iCs/>
          <w:sz w:val="28"/>
          <w:szCs w:val="28"/>
        </w:rPr>
      </w:pPr>
      <w:r>
        <w:rPr>
          <w:iCs/>
          <w:sz w:val="28"/>
          <w:szCs w:val="28"/>
        </w:rPr>
        <w:br w:type="page"/>
      </w:r>
    </w:p>
    <w:p w:rsidR="008F6D1C" w:rsidRPr="00F47BA9" w:rsidRDefault="008F6D1C" w:rsidP="00F47BA9">
      <w:pPr>
        <w:tabs>
          <w:tab w:val="left" w:pos="771"/>
        </w:tabs>
        <w:rPr>
          <w:lang w:eastAsia="ru-RU"/>
        </w:rPr>
        <w:sectPr w:rsidR="008F6D1C" w:rsidRPr="00F47BA9" w:rsidSect="00FD05C5">
          <w:pgSz w:w="11906" w:h="16838"/>
          <w:pgMar w:top="1134" w:right="244" w:bottom="709" w:left="851" w:header="709" w:footer="709" w:gutter="0"/>
          <w:cols w:space="708"/>
          <w:titlePg/>
          <w:docGrid w:linePitch="360"/>
        </w:sectPr>
      </w:pPr>
    </w:p>
    <w:p w:rsidR="00EB72F9" w:rsidRPr="00EB72F9" w:rsidRDefault="00EB72F9" w:rsidP="00EB72F9">
      <w:pPr>
        <w:shd w:val="clear" w:color="auto" w:fill="FFFFFF" w:themeFill="background1"/>
        <w:ind w:right="45"/>
        <w:jc w:val="right"/>
        <w:rPr>
          <w:sz w:val="28"/>
          <w:szCs w:val="28"/>
        </w:rPr>
      </w:pPr>
      <w:r w:rsidRPr="00EB72F9">
        <w:rPr>
          <w:sz w:val="28"/>
          <w:szCs w:val="28"/>
        </w:rPr>
        <w:t>Приложение №3 к Приглашению</w:t>
      </w:r>
    </w:p>
    <w:p w:rsidR="00EB72F9" w:rsidRPr="00FB7D25" w:rsidRDefault="00EB72F9" w:rsidP="00EB72F9"/>
    <w:p w:rsidR="00EB72F9" w:rsidRPr="00FC507C" w:rsidRDefault="00EB72F9" w:rsidP="00EB72F9">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EB72F9" w:rsidRPr="00FC507C" w:rsidRDefault="00EB72F9" w:rsidP="00EB72F9">
      <w:pPr>
        <w:jc w:val="center"/>
      </w:pPr>
    </w:p>
    <w:tbl>
      <w:tblPr>
        <w:tblStyle w:val="13"/>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(персональные данные лица, в отношении которого запрашиваются сведения о правонарушениях:</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фамилия, собственное имя, отчество (если таковое имеется), дата и место рождения,</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идентификационный номер (при отсутствии – номер документа, удостоверяющего личность)</w:t>
            </w:r>
          </w:p>
        </w:tc>
      </w:tr>
      <w:tr w:rsidR="00EB72F9" w:rsidRPr="00FC507C" w:rsidTr="00E31CC3">
        <w:trPr>
          <w:trHeight w:val="20"/>
        </w:trPr>
        <w:tc>
          <w:tcPr>
            <w:tcW w:w="993" w:type="dxa"/>
            <w:vAlign w:val="bottom"/>
            <w:hideMark/>
          </w:tcPr>
          <w:p w:rsidR="00EB72F9" w:rsidRPr="00FC507C" w:rsidRDefault="00EB72F9" w:rsidP="00E31CC3">
            <w:pPr>
              <w:jc w:val="both"/>
            </w:pPr>
            <w:r w:rsidRPr="00FC507C">
              <w:t xml:space="preserve">  и (или)</w:t>
            </w:r>
          </w:p>
        </w:tc>
        <w:tc>
          <w:tcPr>
            <w:tcW w:w="9072" w:type="dxa"/>
            <w:gridSpan w:val="2"/>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993" w:type="dxa"/>
            <w:vAlign w:val="bottom"/>
          </w:tcPr>
          <w:p w:rsidR="00EB72F9" w:rsidRPr="00FC507C" w:rsidRDefault="00EB72F9" w:rsidP="00E31CC3">
            <w:pPr>
              <w:jc w:val="center"/>
              <w:rPr>
                <w:i/>
              </w:rPr>
            </w:pPr>
          </w:p>
        </w:tc>
        <w:tc>
          <w:tcPr>
            <w:tcW w:w="9072" w:type="dxa"/>
            <w:gridSpan w:val="2"/>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номер (при отсутствии – номер документа, удостоверяющего личность) либо наименование</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организации, регистрационный номер в Едином государственном регистре юридических</w:t>
            </w:r>
          </w:p>
        </w:tc>
      </w:tr>
      <w:tr w:rsidR="00EB72F9" w:rsidRPr="00FC507C" w:rsidTr="00E31CC3">
        <w:trPr>
          <w:trHeight w:val="20"/>
        </w:trPr>
        <w:tc>
          <w:tcPr>
            <w:tcW w:w="9923" w:type="dxa"/>
            <w:gridSpan w:val="2"/>
            <w:tcBorders>
              <w:top w:val="nil"/>
              <w:left w:val="nil"/>
              <w:bottom w:val="single" w:sz="4" w:space="0" w:color="auto"/>
              <w:right w:val="nil"/>
            </w:tcBorders>
            <w:vAlign w:val="bottom"/>
          </w:tcPr>
          <w:p w:rsidR="00EB72F9" w:rsidRPr="00FC507C" w:rsidRDefault="00EB72F9" w:rsidP="00E31CC3">
            <w:pPr>
              <w:jc w:val="center"/>
              <w:rPr>
                <w:sz w:val="26"/>
                <w:szCs w:val="26"/>
              </w:rPr>
            </w:pPr>
          </w:p>
        </w:tc>
        <w:tc>
          <w:tcPr>
            <w:tcW w:w="142" w:type="dxa"/>
            <w:hideMark/>
          </w:tcPr>
          <w:p w:rsidR="00EB72F9" w:rsidRPr="00FC507C" w:rsidRDefault="00EB72F9" w:rsidP="00E31CC3">
            <w:pPr>
              <w:rPr>
                <w:sz w:val="26"/>
                <w:szCs w:val="26"/>
              </w:rPr>
            </w:pPr>
            <w:r w:rsidRPr="00FC507C">
              <w:rPr>
                <w:sz w:val="26"/>
                <w:szCs w:val="26"/>
              </w:rPr>
              <w:t>,</w:t>
            </w:r>
          </w:p>
        </w:tc>
      </w:tr>
      <w:tr w:rsidR="00EB72F9" w:rsidRPr="00FC507C" w:rsidTr="00E31CC3">
        <w:trPr>
          <w:trHeight w:val="20"/>
        </w:trPr>
        <w:tc>
          <w:tcPr>
            <w:tcW w:w="9923" w:type="dxa"/>
            <w:gridSpan w:val="2"/>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rsidR="00EB72F9" w:rsidRPr="00FC507C" w:rsidRDefault="00EB72F9" w:rsidP="00E31CC3">
            <w:pPr>
              <w:jc w:val="center"/>
              <w:rPr>
                <w:i/>
              </w:rPr>
            </w:pPr>
          </w:p>
        </w:tc>
      </w:tr>
    </w:tbl>
    <w:p w:rsidR="00EB72F9" w:rsidRPr="00FC507C" w:rsidRDefault="00EB72F9" w:rsidP="00EB72F9">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3"/>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EB72F9" w:rsidRPr="00FC507C" w:rsidTr="00E31CC3">
        <w:trPr>
          <w:trHeight w:val="20"/>
        </w:trPr>
        <w:tc>
          <w:tcPr>
            <w:tcW w:w="10065" w:type="dxa"/>
            <w:gridSpan w:val="2"/>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10065" w:type="dxa"/>
            <w:gridSpan w:val="2"/>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(реквизиты документа, подтверждающего полномочия</w:t>
            </w:r>
          </w:p>
        </w:tc>
      </w:tr>
      <w:tr w:rsidR="00EB72F9" w:rsidRPr="00FC507C" w:rsidTr="00E31CC3">
        <w:trPr>
          <w:trHeight w:val="20"/>
        </w:trPr>
        <w:tc>
          <w:tcPr>
            <w:tcW w:w="9640" w:type="dxa"/>
            <w:tcBorders>
              <w:top w:val="nil"/>
              <w:left w:val="nil"/>
              <w:bottom w:val="single" w:sz="4" w:space="0" w:color="auto"/>
              <w:right w:val="nil"/>
            </w:tcBorders>
            <w:vAlign w:val="bottom"/>
          </w:tcPr>
          <w:p w:rsidR="00EB72F9" w:rsidRPr="00FC507C" w:rsidRDefault="00EB72F9" w:rsidP="00E31CC3">
            <w:pPr>
              <w:jc w:val="center"/>
              <w:rPr>
                <w:sz w:val="26"/>
                <w:szCs w:val="26"/>
              </w:rPr>
            </w:pPr>
          </w:p>
        </w:tc>
        <w:tc>
          <w:tcPr>
            <w:tcW w:w="425" w:type="dxa"/>
            <w:hideMark/>
          </w:tcPr>
          <w:p w:rsidR="00EB72F9" w:rsidRPr="00FC507C" w:rsidRDefault="00EB72F9" w:rsidP="00E31CC3">
            <w:pPr>
              <w:rPr>
                <w:sz w:val="26"/>
                <w:szCs w:val="26"/>
              </w:rPr>
            </w:pPr>
            <w:r w:rsidRPr="00FC507C">
              <w:rPr>
                <w:sz w:val="26"/>
                <w:szCs w:val="26"/>
              </w:rPr>
              <w:t>,**</w:t>
            </w:r>
          </w:p>
        </w:tc>
      </w:tr>
      <w:tr w:rsidR="00EB72F9" w:rsidRPr="00FC507C" w:rsidTr="00E31CC3">
        <w:trPr>
          <w:trHeight w:val="20"/>
        </w:trPr>
        <w:tc>
          <w:tcPr>
            <w:tcW w:w="9640" w:type="dxa"/>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законного представителя)</w:t>
            </w:r>
          </w:p>
        </w:tc>
        <w:tc>
          <w:tcPr>
            <w:tcW w:w="425" w:type="dxa"/>
          </w:tcPr>
          <w:p w:rsidR="00EB72F9" w:rsidRPr="00FC507C" w:rsidRDefault="00EB72F9" w:rsidP="00E31CC3">
            <w:pPr>
              <w:jc w:val="center"/>
              <w:rPr>
                <w:i/>
              </w:rPr>
            </w:pPr>
          </w:p>
        </w:tc>
      </w:tr>
    </w:tbl>
    <w:p w:rsidR="00EB72F9" w:rsidRPr="00FC507C" w:rsidRDefault="00EB72F9" w:rsidP="00EB72F9">
      <w:pPr>
        <w:ind w:firstLine="567"/>
        <w:jc w:val="both"/>
      </w:pPr>
    </w:p>
    <w:p w:rsidR="00EB72F9" w:rsidRPr="00FC507C" w:rsidRDefault="00EB72F9" w:rsidP="00EB72F9">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«Сбер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rsidR="00EB72F9" w:rsidRPr="00FC507C" w:rsidRDefault="00EB72F9" w:rsidP="00EB72F9">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EB72F9" w:rsidRPr="00FC507C" w:rsidRDefault="00EB72F9" w:rsidP="00EB72F9">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EB72F9" w:rsidRPr="00FC507C" w:rsidRDefault="00EB72F9" w:rsidP="00EB72F9">
      <w:pPr>
        <w:jc w:val="both"/>
      </w:pPr>
    </w:p>
    <w:p w:rsidR="00EB72F9" w:rsidRPr="00FC507C" w:rsidRDefault="00EB72F9" w:rsidP="00EB72F9">
      <w:pPr>
        <w:jc w:val="both"/>
      </w:pPr>
      <w:r w:rsidRPr="00FC507C">
        <w:t>Согласие дано</w:t>
      </w:r>
    </w:p>
    <w:tbl>
      <w:tblPr>
        <w:tblStyle w:val="13"/>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EB72F9" w:rsidRPr="00FC507C" w:rsidTr="00E31CC3">
        <w:tc>
          <w:tcPr>
            <w:tcW w:w="1417" w:type="dxa"/>
            <w:tcBorders>
              <w:top w:val="nil"/>
              <w:left w:val="nil"/>
              <w:bottom w:val="single" w:sz="4" w:space="0" w:color="auto"/>
              <w:right w:val="nil"/>
            </w:tcBorders>
          </w:tcPr>
          <w:p w:rsidR="00EB72F9" w:rsidRPr="00FC507C" w:rsidRDefault="00EB72F9" w:rsidP="00E31CC3">
            <w:pPr>
              <w:jc w:val="center"/>
            </w:pPr>
            <w:r w:rsidRPr="00FC507C">
              <w:t>___________</w:t>
            </w:r>
          </w:p>
        </w:tc>
        <w:tc>
          <w:tcPr>
            <w:tcW w:w="340" w:type="dxa"/>
            <w:hideMark/>
          </w:tcPr>
          <w:p w:rsidR="00EB72F9" w:rsidRPr="00FC507C" w:rsidRDefault="00EB72F9" w:rsidP="00E31CC3">
            <w:pPr>
              <w:jc w:val="center"/>
            </w:pPr>
            <w:r w:rsidRPr="00FC507C">
              <w:t>20</w:t>
            </w:r>
          </w:p>
        </w:tc>
        <w:tc>
          <w:tcPr>
            <w:tcW w:w="399" w:type="dxa"/>
            <w:tcBorders>
              <w:top w:val="nil"/>
              <w:left w:val="nil"/>
              <w:bottom w:val="single" w:sz="4" w:space="0" w:color="auto"/>
              <w:right w:val="nil"/>
            </w:tcBorders>
          </w:tcPr>
          <w:p w:rsidR="00EB72F9" w:rsidRPr="00FC507C" w:rsidRDefault="00EB72F9" w:rsidP="00E31CC3">
            <w:pPr>
              <w:jc w:val="center"/>
            </w:pPr>
            <w:r w:rsidRPr="00FC507C">
              <w:t>__</w:t>
            </w:r>
          </w:p>
        </w:tc>
        <w:tc>
          <w:tcPr>
            <w:tcW w:w="1388" w:type="dxa"/>
            <w:hideMark/>
          </w:tcPr>
          <w:p w:rsidR="00EB72F9" w:rsidRPr="00FC507C" w:rsidRDefault="00EB72F9" w:rsidP="00E31CC3">
            <w:r w:rsidRPr="00FC507C">
              <w:t>г.</w:t>
            </w:r>
          </w:p>
        </w:tc>
        <w:tc>
          <w:tcPr>
            <w:tcW w:w="2566" w:type="dxa"/>
            <w:tcBorders>
              <w:top w:val="nil"/>
              <w:left w:val="nil"/>
              <w:bottom w:val="single" w:sz="4" w:space="0" w:color="auto"/>
              <w:right w:val="nil"/>
            </w:tcBorders>
          </w:tcPr>
          <w:p w:rsidR="00EB72F9" w:rsidRPr="00FC507C" w:rsidRDefault="00EB72F9" w:rsidP="00E31CC3">
            <w:pPr>
              <w:jc w:val="center"/>
            </w:pPr>
            <w:r w:rsidRPr="00FC507C">
              <w:t>______________</w:t>
            </w:r>
          </w:p>
        </w:tc>
        <w:tc>
          <w:tcPr>
            <w:tcW w:w="695" w:type="dxa"/>
            <w:vMerge w:val="restart"/>
          </w:tcPr>
          <w:p w:rsidR="00EB72F9" w:rsidRPr="00FC507C" w:rsidRDefault="00EB72F9" w:rsidP="00E31CC3"/>
        </w:tc>
        <w:tc>
          <w:tcPr>
            <w:tcW w:w="3260" w:type="dxa"/>
            <w:tcBorders>
              <w:top w:val="nil"/>
              <w:left w:val="nil"/>
              <w:bottom w:val="single" w:sz="4" w:space="0" w:color="auto"/>
              <w:right w:val="nil"/>
            </w:tcBorders>
          </w:tcPr>
          <w:p w:rsidR="00EB72F9" w:rsidRPr="00FC507C" w:rsidRDefault="00EB72F9" w:rsidP="00E31CC3">
            <w:pPr>
              <w:jc w:val="center"/>
            </w:pPr>
            <w:r w:rsidRPr="00FC507C">
              <w:t>___________________</w:t>
            </w:r>
          </w:p>
        </w:tc>
      </w:tr>
      <w:tr w:rsidR="00EB72F9" w:rsidRPr="00FC507C" w:rsidTr="00E31CC3">
        <w:tc>
          <w:tcPr>
            <w:tcW w:w="2156" w:type="dxa"/>
            <w:gridSpan w:val="3"/>
            <w:hideMark/>
          </w:tcPr>
          <w:p w:rsidR="00EB72F9" w:rsidRPr="00FC507C" w:rsidRDefault="00EB72F9" w:rsidP="00E31CC3">
            <w:pPr>
              <w:jc w:val="center"/>
              <w:rPr>
                <w:i/>
              </w:rPr>
            </w:pPr>
            <w:r w:rsidRPr="00FC507C">
              <w:rPr>
                <w:i/>
              </w:rPr>
              <w:t>(дата)</w:t>
            </w:r>
          </w:p>
        </w:tc>
        <w:tc>
          <w:tcPr>
            <w:tcW w:w="1388" w:type="dxa"/>
          </w:tcPr>
          <w:p w:rsidR="00EB72F9" w:rsidRPr="00FC507C" w:rsidRDefault="00EB72F9" w:rsidP="00E31CC3">
            <w:pPr>
              <w:jc w:val="center"/>
              <w:rPr>
                <w:i/>
              </w:rPr>
            </w:pPr>
          </w:p>
        </w:tc>
        <w:tc>
          <w:tcPr>
            <w:tcW w:w="2566" w:type="dxa"/>
            <w:tcBorders>
              <w:top w:val="single" w:sz="4" w:space="0" w:color="auto"/>
              <w:left w:val="nil"/>
              <w:bottom w:val="nil"/>
              <w:right w:val="nil"/>
            </w:tcBorders>
            <w:hideMark/>
          </w:tcPr>
          <w:p w:rsidR="00EB72F9" w:rsidRPr="00FC507C" w:rsidRDefault="00EB72F9" w:rsidP="00E31CC3">
            <w:pPr>
              <w:jc w:val="center"/>
              <w:rPr>
                <w:i/>
              </w:rPr>
            </w:pPr>
            <w:r w:rsidRPr="00FC507C">
              <w:rPr>
                <w:i/>
              </w:rPr>
              <w:t>(подпись)</w:t>
            </w:r>
          </w:p>
        </w:tc>
        <w:tc>
          <w:tcPr>
            <w:tcW w:w="695" w:type="dxa"/>
            <w:vMerge/>
            <w:vAlign w:val="center"/>
            <w:hideMark/>
          </w:tcPr>
          <w:p w:rsidR="00EB72F9" w:rsidRPr="00FC507C" w:rsidRDefault="00EB72F9" w:rsidP="00E31CC3"/>
        </w:tc>
        <w:tc>
          <w:tcPr>
            <w:tcW w:w="3260" w:type="dxa"/>
            <w:tcBorders>
              <w:top w:val="single" w:sz="4" w:space="0" w:color="auto"/>
              <w:left w:val="nil"/>
              <w:bottom w:val="nil"/>
              <w:right w:val="nil"/>
            </w:tcBorders>
            <w:hideMark/>
          </w:tcPr>
          <w:p w:rsidR="00EB72F9" w:rsidRPr="00FC507C" w:rsidRDefault="00EB72F9" w:rsidP="00E31CC3">
            <w:pPr>
              <w:jc w:val="center"/>
              <w:rPr>
                <w:i/>
              </w:rPr>
            </w:pPr>
            <w:r w:rsidRPr="00FC507C">
              <w:rPr>
                <w:i/>
              </w:rPr>
              <w:t>(инициалы и фамилия)</w:t>
            </w:r>
          </w:p>
        </w:tc>
      </w:tr>
    </w:tbl>
    <w:p w:rsidR="00EB72F9" w:rsidRPr="00FC507C" w:rsidRDefault="00EB72F9" w:rsidP="00EB72F9">
      <w:pPr>
        <w:jc w:val="both"/>
      </w:pPr>
    </w:p>
    <w:p w:rsidR="00EB72F9" w:rsidRPr="00FC507C" w:rsidRDefault="00EB72F9" w:rsidP="00EB72F9">
      <w:pPr>
        <w:jc w:val="both"/>
        <w:rPr>
          <w:sz w:val="20"/>
          <w:szCs w:val="20"/>
        </w:rPr>
      </w:pPr>
      <w:r w:rsidRPr="00FC507C">
        <w:rPr>
          <w:sz w:val="20"/>
          <w:szCs w:val="20"/>
        </w:rPr>
        <w:t>______________________________</w:t>
      </w:r>
    </w:p>
    <w:p w:rsidR="00EB72F9" w:rsidRPr="00FC507C" w:rsidRDefault="00EB72F9" w:rsidP="00EB72F9">
      <w:pPr>
        <w:ind w:firstLine="567"/>
        <w:jc w:val="both"/>
        <w:rPr>
          <w:sz w:val="20"/>
          <w:szCs w:val="20"/>
        </w:rPr>
      </w:pPr>
      <w:r w:rsidRPr="00FC507C">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EB72F9" w:rsidRPr="00FC507C" w:rsidRDefault="00EB72F9" w:rsidP="00EB72F9">
      <w:pPr>
        <w:ind w:firstLine="567"/>
        <w:jc w:val="both"/>
        <w:rPr>
          <w:sz w:val="20"/>
          <w:szCs w:val="20"/>
        </w:rPr>
      </w:pPr>
      <w:r w:rsidRPr="00FC507C">
        <w:rPr>
          <w:sz w:val="20"/>
          <w:szCs w:val="20"/>
        </w:rPr>
        <w:t>** Заполняется в случае, если согласие дает законный представитель.</w:t>
      </w:r>
    </w:p>
    <w:p w:rsidR="00EB72F9" w:rsidRPr="00FC507C" w:rsidRDefault="00EB72F9" w:rsidP="00EB72F9">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rsidR="00EB72F9" w:rsidRPr="00FF3217" w:rsidRDefault="00EB72F9" w:rsidP="00EB72F9"/>
    <w:p w:rsidR="001F34E4" w:rsidRPr="008F6D1C" w:rsidRDefault="001F34E4" w:rsidP="00EB72F9">
      <w:pPr>
        <w:shd w:val="clear" w:color="auto" w:fill="FFFFFF" w:themeFill="background1"/>
        <w:ind w:right="45"/>
        <w:contextualSpacing/>
        <w:jc w:val="both"/>
        <w:rPr>
          <w:iCs/>
          <w:sz w:val="28"/>
          <w:szCs w:val="28"/>
        </w:rPr>
      </w:pPr>
    </w:p>
    <w:sectPr w:rsidR="001F34E4" w:rsidRPr="008F6D1C" w:rsidSect="00FD05C5">
      <w:pgSz w:w="11906" w:h="16838"/>
      <w:pgMar w:top="1134"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728" w:rsidRDefault="005E4728" w:rsidP="001F34E4">
      <w:r>
        <w:separator/>
      </w:r>
    </w:p>
  </w:endnote>
  <w:endnote w:type="continuationSeparator" w:id="0">
    <w:p w:rsidR="005E4728" w:rsidRDefault="005E4728" w:rsidP="001F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728" w:rsidRDefault="005E4728" w:rsidP="001F34E4">
      <w:r>
        <w:separator/>
      </w:r>
    </w:p>
  </w:footnote>
  <w:footnote w:type="continuationSeparator" w:id="0">
    <w:p w:rsidR="005E4728" w:rsidRDefault="005E4728" w:rsidP="001F34E4">
      <w:r>
        <w:continuationSeparator/>
      </w:r>
    </w:p>
  </w:footnote>
  <w:footnote w:id="1">
    <w:p w:rsidR="00F47BA9" w:rsidRDefault="00F47BA9" w:rsidP="00F47BA9">
      <w:pPr>
        <w:pStyle w:val="ac"/>
        <w:ind w:left="1134" w:right="646"/>
        <w:jc w:val="both"/>
      </w:pPr>
      <w:r>
        <w:rPr>
          <w:rStyle w:val="a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E4" w:rsidRDefault="001F34E4">
    <w:pPr>
      <w:pStyle w:val="a5"/>
      <w:jc w:val="center"/>
    </w:pPr>
  </w:p>
  <w:p w:rsidR="001F34E4" w:rsidRDefault="001F34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13"/>
    <w:multiLevelType w:val="hybridMultilevel"/>
    <w:tmpl w:val="53B22668"/>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34188"/>
    <w:multiLevelType w:val="hybridMultilevel"/>
    <w:tmpl w:val="5B44DCB6"/>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F342ACA"/>
    <w:multiLevelType w:val="hybridMultilevel"/>
    <w:tmpl w:val="86B8B6A2"/>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3228B7"/>
    <w:multiLevelType w:val="multilevel"/>
    <w:tmpl w:val="3D4ABEAC"/>
    <w:lvl w:ilvl="0">
      <w:start w:val="1"/>
      <w:numFmt w:val="decimal"/>
      <w:lvlText w:val="%1."/>
      <w:lvlJc w:val="left"/>
      <w:pPr>
        <w:ind w:left="420" w:hanging="42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064F88"/>
    <w:multiLevelType w:val="multilevel"/>
    <w:tmpl w:val="CC1281B0"/>
    <w:lvl w:ilvl="0">
      <w:start w:val="1"/>
      <w:numFmt w:val="decimal"/>
      <w:lvlText w:val="%1."/>
      <w:lvlJc w:val="left"/>
      <w:pPr>
        <w:ind w:left="420" w:hanging="4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DC6FA8"/>
    <w:multiLevelType w:val="hybridMultilevel"/>
    <w:tmpl w:val="87F431F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6"/>
  </w:num>
  <w:num w:numId="6">
    <w:abstractNumId w:val="8"/>
  </w:num>
  <w:num w:numId="7">
    <w:abstractNumId w:val="5"/>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3"/>
    <w:rsid w:val="00017F7B"/>
    <w:rsid w:val="000519A5"/>
    <w:rsid w:val="000523DF"/>
    <w:rsid w:val="000539AC"/>
    <w:rsid w:val="000B5EB3"/>
    <w:rsid w:val="00115E1E"/>
    <w:rsid w:val="00156F5C"/>
    <w:rsid w:val="00181132"/>
    <w:rsid w:val="0018740C"/>
    <w:rsid w:val="001F34E4"/>
    <w:rsid w:val="00204FFD"/>
    <w:rsid w:val="002A0890"/>
    <w:rsid w:val="002B4A86"/>
    <w:rsid w:val="002C0118"/>
    <w:rsid w:val="0037734B"/>
    <w:rsid w:val="003D66BA"/>
    <w:rsid w:val="003E6792"/>
    <w:rsid w:val="00403BAB"/>
    <w:rsid w:val="00417420"/>
    <w:rsid w:val="00452A23"/>
    <w:rsid w:val="00464C94"/>
    <w:rsid w:val="00465605"/>
    <w:rsid w:val="0049275E"/>
    <w:rsid w:val="004D7E5C"/>
    <w:rsid w:val="005540A1"/>
    <w:rsid w:val="00575D6B"/>
    <w:rsid w:val="005E4728"/>
    <w:rsid w:val="00622B6A"/>
    <w:rsid w:val="00681A5D"/>
    <w:rsid w:val="006B4D03"/>
    <w:rsid w:val="006D27D4"/>
    <w:rsid w:val="006F0D36"/>
    <w:rsid w:val="00705299"/>
    <w:rsid w:val="007D433D"/>
    <w:rsid w:val="007F4A19"/>
    <w:rsid w:val="00827D70"/>
    <w:rsid w:val="00894759"/>
    <w:rsid w:val="008A0223"/>
    <w:rsid w:val="008F6D1C"/>
    <w:rsid w:val="008F7892"/>
    <w:rsid w:val="00927C6D"/>
    <w:rsid w:val="009524F3"/>
    <w:rsid w:val="00993A0F"/>
    <w:rsid w:val="00A44FDE"/>
    <w:rsid w:val="00A53B43"/>
    <w:rsid w:val="00A84A68"/>
    <w:rsid w:val="00AB4F22"/>
    <w:rsid w:val="00B0614D"/>
    <w:rsid w:val="00B06411"/>
    <w:rsid w:val="00B10E9C"/>
    <w:rsid w:val="00B14F84"/>
    <w:rsid w:val="00B36630"/>
    <w:rsid w:val="00BC106B"/>
    <w:rsid w:val="00BD5034"/>
    <w:rsid w:val="00BE6B8A"/>
    <w:rsid w:val="00BF7143"/>
    <w:rsid w:val="00C5727A"/>
    <w:rsid w:val="00C704D9"/>
    <w:rsid w:val="00C80705"/>
    <w:rsid w:val="00C828D4"/>
    <w:rsid w:val="00C935FB"/>
    <w:rsid w:val="00CB034D"/>
    <w:rsid w:val="00CD65E1"/>
    <w:rsid w:val="00D11C7F"/>
    <w:rsid w:val="00D37502"/>
    <w:rsid w:val="00D43F47"/>
    <w:rsid w:val="00D86959"/>
    <w:rsid w:val="00DC2EF0"/>
    <w:rsid w:val="00DF3728"/>
    <w:rsid w:val="00E37A47"/>
    <w:rsid w:val="00E66B96"/>
    <w:rsid w:val="00E86CC5"/>
    <w:rsid w:val="00EA510A"/>
    <w:rsid w:val="00EB72F9"/>
    <w:rsid w:val="00F47BA9"/>
    <w:rsid w:val="00F6691A"/>
    <w:rsid w:val="00F93B00"/>
    <w:rsid w:val="00FD0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E41465"/>
  <w15:chartTrackingRefBased/>
  <w15:docId w15:val="{BC7BCD76-3A94-4349-97E3-EEB753C7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143"/>
    <w:rPr>
      <w:rFonts w:eastAsia="SimSun"/>
      <w:sz w:val="24"/>
      <w:szCs w:val="24"/>
      <w:lang w:eastAsia="zh-CN"/>
    </w:rPr>
  </w:style>
  <w:style w:type="paragraph" w:styleId="10">
    <w:name w:val="heading 1"/>
    <w:basedOn w:val="a"/>
    <w:next w:val="a"/>
    <w:link w:val="11"/>
    <w:qFormat/>
    <w:rsid w:val="001F34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71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1F34E4"/>
    <w:rPr>
      <w:rFonts w:ascii="Calibri" w:eastAsia="Calibri" w:hAnsi="Calibri"/>
      <w:sz w:val="22"/>
      <w:szCs w:val="22"/>
      <w:lang w:eastAsia="en-US"/>
    </w:rPr>
  </w:style>
  <w:style w:type="paragraph" w:styleId="a5">
    <w:name w:val="header"/>
    <w:basedOn w:val="a"/>
    <w:link w:val="a6"/>
    <w:uiPriority w:val="99"/>
    <w:unhideWhenUsed/>
    <w:rsid w:val="001F34E4"/>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1F34E4"/>
    <w:rPr>
      <w:sz w:val="24"/>
      <w:szCs w:val="24"/>
    </w:rPr>
  </w:style>
  <w:style w:type="character" w:styleId="a7">
    <w:name w:val="Hyperlink"/>
    <w:basedOn w:val="a0"/>
    <w:uiPriority w:val="99"/>
    <w:unhideWhenUsed/>
    <w:rsid w:val="001F34E4"/>
    <w:rPr>
      <w:color w:val="0563C1" w:themeColor="hyperlink"/>
      <w:u w:val="single"/>
    </w:rPr>
  </w:style>
  <w:style w:type="paragraph" w:styleId="a8">
    <w:name w:val="List Paragraph"/>
    <w:aliases w:val="Булит 1"/>
    <w:basedOn w:val="a"/>
    <w:link w:val="a9"/>
    <w:uiPriority w:val="34"/>
    <w:qFormat/>
    <w:rsid w:val="001F34E4"/>
    <w:pPr>
      <w:ind w:left="720"/>
      <w:contextualSpacing/>
    </w:pPr>
    <w:rPr>
      <w:rFonts w:eastAsia="Times New Roman"/>
      <w:lang w:eastAsia="ru-RU"/>
    </w:rPr>
  </w:style>
  <w:style w:type="character" w:customStyle="1" w:styleId="a9">
    <w:name w:val="Абзац списка Знак"/>
    <w:aliases w:val="Булит 1 Знак"/>
    <w:link w:val="a8"/>
    <w:uiPriority w:val="34"/>
    <w:locked/>
    <w:rsid w:val="001F34E4"/>
    <w:rPr>
      <w:sz w:val="24"/>
      <w:szCs w:val="24"/>
    </w:rPr>
  </w:style>
  <w:style w:type="paragraph" w:customStyle="1" w:styleId="aa">
    <w:name w:val="Мой Стиль"/>
    <w:basedOn w:val="a"/>
    <w:rsid w:val="001F34E4"/>
    <w:pPr>
      <w:ind w:firstLine="360"/>
    </w:pPr>
    <w:rPr>
      <w:rFonts w:eastAsia="Times New Roman"/>
      <w:sz w:val="22"/>
      <w:szCs w:val="22"/>
      <w:lang w:eastAsia="ru-RU"/>
    </w:rPr>
  </w:style>
  <w:style w:type="paragraph" w:customStyle="1" w:styleId="1">
    <w:name w:val="Мзаголовок1"/>
    <w:basedOn w:val="10"/>
    <w:next w:val="aa"/>
    <w:link w:val="12"/>
    <w:qFormat/>
    <w:rsid w:val="001F34E4"/>
    <w:pPr>
      <w:keepLines w:val="0"/>
      <w:numPr>
        <w:numId w:val="4"/>
      </w:numPr>
      <w:spacing w:after="60"/>
      <w:jc w:val="center"/>
    </w:pPr>
    <w:rPr>
      <w:rFonts w:ascii="Times New Roman" w:eastAsia="Times New Roman" w:hAnsi="Times New Roman" w:cs="Arial"/>
      <w:b/>
      <w:bCs/>
      <w:color w:val="auto"/>
      <w:kern w:val="32"/>
      <w:lang w:eastAsia="ru-RU"/>
    </w:rPr>
  </w:style>
  <w:style w:type="character" w:customStyle="1" w:styleId="12">
    <w:name w:val="Мзаголовок1 Знак"/>
    <w:basedOn w:val="a0"/>
    <w:link w:val="1"/>
    <w:rsid w:val="001F34E4"/>
    <w:rPr>
      <w:rFonts w:cs="Arial"/>
      <w:b/>
      <w:bCs/>
      <w:kern w:val="32"/>
      <w:sz w:val="32"/>
      <w:szCs w:val="32"/>
    </w:rPr>
  </w:style>
  <w:style w:type="character" w:styleId="ab">
    <w:name w:val="footnote reference"/>
    <w:basedOn w:val="a0"/>
    <w:unhideWhenUsed/>
    <w:rsid w:val="001F34E4"/>
    <w:rPr>
      <w:vertAlign w:val="superscript"/>
    </w:rPr>
  </w:style>
  <w:style w:type="paragraph" w:styleId="ac">
    <w:name w:val="footnote text"/>
    <w:basedOn w:val="a"/>
    <w:link w:val="ad"/>
    <w:uiPriority w:val="99"/>
    <w:unhideWhenUsed/>
    <w:rsid w:val="001F34E4"/>
    <w:rPr>
      <w:rFonts w:eastAsia="Times New Roman"/>
      <w:sz w:val="20"/>
      <w:szCs w:val="20"/>
      <w:lang w:eastAsia="ru-RU"/>
    </w:rPr>
  </w:style>
  <w:style w:type="character" w:customStyle="1" w:styleId="ad">
    <w:name w:val="Текст сноски Знак"/>
    <w:basedOn w:val="a0"/>
    <w:link w:val="ac"/>
    <w:uiPriority w:val="99"/>
    <w:rsid w:val="001F34E4"/>
  </w:style>
  <w:style w:type="paragraph" w:customStyle="1" w:styleId="ConsPlusNormal">
    <w:name w:val="ConsPlusNormal"/>
    <w:rsid w:val="001F34E4"/>
    <w:pPr>
      <w:widowControl w:val="0"/>
      <w:autoSpaceDE w:val="0"/>
      <w:autoSpaceDN w:val="0"/>
    </w:pPr>
    <w:rPr>
      <w:rFonts w:ascii="Calibri" w:hAnsi="Calibri" w:cs="Calibri"/>
      <w:sz w:val="22"/>
    </w:rPr>
  </w:style>
  <w:style w:type="paragraph" w:styleId="3">
    <w:name w:val="List Bullet 3"/>
    <w:basedOn w:val="a"/>
    <w:uiPriority w:val="99"/>
    <w:unhideWhenUsed/>
    <w:rsid w:val="001F34E4"/>
    <w:pPr>
      <w:tabs>
        <w:tab w:val="num" w:pos="926"/>
      </w:tabs>
      <w:ind w:left="926" w:hanging="360"/>
    </w:pPr>
    <w:rPr>
      <w:rFonts w:eastAsia="Calibri"/>
      <w:lang w:eastAsia="ru-RU"/>
    </w:rPr>
  </w:style>
  <w:style w:type="character" w:customStyle="1" w:styleId="11">
    <w:name w:val="Заголовок 1 Знак"/>
    <w:basedOn w:val="a0"/>
    <w:link w:val="10"/>
    <w:rsid w:val="001F34E4"/>
    <w:rPr>
      <w:rFonts w:asciiTheme="majorHAnsi" w:eastAsiaTheme="majorEastAsia" w:hAnsiTheme="majorHAnsi" w:cstheme="majorBidi"/>
      <w:color w:val="2E74B5" w:themeColor="accent1" w:themeShade="BF"/>
      <w:sz w:val="32"/>
      <w:szCs w:val="32"/>
      <w:lang w:eastAsia="zh-CN"/>
    </w:rPr>
  </w:style>
  <w:style w:type="table" w:customStyle="1" w:styleId="13">
    <w:name w:val="Сетка таблицы1"/>
    <w:basedOn w:val="a1"/>
    <w:next w:val="a3"/>
    <w:uiPriority w:val="59"/>
    <w:rsid w:val="00EB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E055-95F0-49E3-9C7A-CE9AC3B5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2010</Words>
  <Characters>14494</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~b ДАТА</vt:lpstr>
    </vt:vector>
  </TitlesOfParts>
  <Company>bpsb</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ДАТА</dc:title>
  <dc:subject/>
  <dc:creator>Iba_1</dc:creator>
  <cp:keywords/>
  <dc:description/>
  <cp:lastModifiedBy>Даревская Вероника</cp:lastModifiedBy>
  <cp:revision>6</cp:revision>
  <dcterms:created xsi:type="dcterms:W3CDTF">2025-04-21T12:35:00Z</dcterms:created>
  <dcterms:modified xsi:type="dcterms:W3CDTF">2025-04-22T12:30:00Z</dcterms:modified>
</cp:coreProperties>
</file>