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555E89" w:rsidRPr="00AE6B2B" w:rsidRDefault="00C249CD" w:rsidP="00555E89">
      <w:pPr>
        <w:jc w:val="center"/>
        <w:rPr>
          <w:rFonts w:eastAsia="A"/>
          <w:sz w:val="26"/>
          <w:szCs w:val="26"/>
        </w:rPr>
      </w:pPr>
      <w:r w:rsidRPr="00AE6B2B">
        <w:rPr>
          <w:rFonts w:eastAsia="A"/>
          <w:sz w:val="26"/>
          <w:szCs w:val="26"/>
        </w:rPr>
        <w:t>к участию в процедуре закупки</w:t>
      </w:r>
      <w:r w:rsidR="001B20BE" w:rsidRPr="00AE6B2B">
        <w:rPr>
          <w:rFonts w:eastAsia="A"/>
          <w:sz w:val="26"/>
          <w:szCs w:val="26"/>
        </w:rPr>
        <w:t>:</w:t>
      </w:r>
    </w:p>
    <w:p w:rsidR="00936DFC" w:rsidRPr="00936DFC" w:rsidRDefault="00AE3CCD" w:rsidP="00936DFC">
      <w:pPr>
        <w:jc w:val="center"/>
        <w:rPr>
          <w:rFonts w:eastAsia="A"/>
          <w:sz w:val="26"/>
          <w:szCs w:val="26"/>
        </w:rPr>
      </w:pPr>
      <w:r w:rsidRPr="00936DFC">
        <w:rPr>
          <w:rFonts w:eastAsia="A"/>
          <w:sz w:val="26"/>
          <w:szCs w:val="26"/>
        </w:rPr>
        <w:t>«</w:t>
      </w:r>
      <w:r w:rsidR="00555E89" w:rsidRPr="00936DFC">
        <w:rPr>
          <w:rFonts w:eastAsia="A"/>
          <w:sz w:val="26"/>
          <w:szCs w:val="26"/>
        </w:rPr>
        <w:t>Размещение</w:t>
      </w:r>
      <w:r w:rsidR="00AE6B2B" w:rsidRPr="00936DFC">
        <w:rPr>
          <w:rFonts w:eastAsia="A"/>
          <w:sz w:val="26"/>
          <w:szCs w:val="26"/>
        </w:rPr>
        <w:t xml:space="preserve"> </w:t>
      </w:r>
      <w:r w:rsidR="001A21A0">
        <w:rPr>
          <w:rFonts w:eastAsia="A"/>
          <w:sz w:val="26"/>
          <w:szCs w:val="26"/>
        </w:rPr>
        <w:t xml:space="preserve">рекламного материала </w:t>
      </w:r>
      <w:r w:rsidR="001A21A0" w:rsidRPr="00DE7C50">
        <w:rPr>
          <w:rFonts w:eastAsia="A"/>
          <w:sz w:val="26"/>
          <w:szCs w:val="26"/>
        </w:rPr>
        <w:t>ОАО</w:t>
      </w:r>
      <w:r w:rsidR="00AE6B2B" w:rsidRPr="00DE7C50">
        <w:rPr>
          <w:rFonts w:eastAsia="A"/>
          <w:sz w:val="26"/>
          <w:szCs w:val="26"/>
        </w:rPr>
        <w:t xml:space="preserve"> «Сбер Банк»</w:t>
      </w:r>
      <w:r w:rsidR="00555E89" w:rsidRPr="00DE7C50">
        <w:rPr>
          <w:rFonts w:eastAsia="A"/>
          <w:sz w:val="26"/>
          <w:szCs w:val="26"/>
        </w:rPr>
        <w:t xml:space="preserve"> </w:t>
      </w:r>
      <w:r w:rsidR="001A21A0" w:rsidRPr="001A21A0">
        <w:rPr>
          <w:rFonts w:eastAsia="A"/>
          <w:sz w:val="26"/>
          <w:szCs w:val="26"/>
        </w:rPr>
        <w:t>на мониторах в холлах жилых домов в г. Минске (129 экранов, 15 351 квартира) с 20.10.2025 по 31.10.2025</w:t>
      </w:r>
      <w:r w:rsidR="00936DFC" w:rsidRPr="00DE7C50">
        <w:rPr>
          <w:rFonts w:eastAsia="A"/>
          <w:sz w:val="26"/>
          <w:szCs w:val="26"/>
        </w:rPr>
        <w:t>»</w:t>
      </w:r>
    </w:p>
    <w:p w:rsidR="00C146C2" w:rsidRPr="00AE6B2B" w:rsidRDefault="00C146C2" w:rsidP="00C146C2">
      <w:pPr>
        <w:spacing w:after="200" w:line="276" w:lineRule="auto"/>
        <w:ind w:right="323"/>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1A21A0" w:rsidP="001A21A0">
            <w:pPr>
              <w:shd w:val="clear" w:color="auto" w:fill="FFFFFF" w:themeFill="background1"/>
              <w:jc w:val="both"/>
              <w:rPr>
                <w:rFonts w:eastAsia="A"/>
                <w:sz w:val="28"/>
                <w:szCs w:val="28"/>
              </w:rPr>
            </w:pPr>
            <w:r w:rsidRPr="001A21A0">
              <w:rPr>
                <w:sz w:val="26"/>
                <w:szCs w:val="26"/>
              </w:rPr>
              <w:t>«Размещение рекламного материала ОАО «Сбер Банк» на мониторах в холлах жилых домов в г. Минске (129 экранов, 15 351 квартира) с 20.10.2025 по 31.10.2025»</w:t>
            </w:r>
            <w:r w:rsidR="00936DFC" w:rsidRPr="001A21A0">
              <w:rPr>
                <w:sz w:val="26"/>
                <w:szCs w:val="26"/>
              </w:rPr>
              <w:t xml:space="preserve">, </w:t>
            </w:r>
            <w:r w:rsidR="00A51820" w:rsidRPr="001A21A0">
              <w:rPr>
                <w:sz w:val="26"/>
                <w:szCs w:val="26"/>
              </w:rPr>
              <w:t xml:space="preserve"> </w:t>
            </w:r>
            <w:r w:rsidR="00331EB2" w:rsidRPr="001A21A0">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1A21A0">
              <w:rPr>
                <w:sz w:val="26"/>
                <w:szCs w:val="26"/>
              </w:rPr>
              <w:t>12 000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0D1796">
              <w:rPr>
                <w:rFonts w:eastAsia="A"/>
                <w:sz w:val="26"/>
                <w:szCs w:val="26"/>
              </w:rPr>
              <w:lastRenderedPageBreak/>
              <w:t xml:space="preserve">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1A21A0" w:rsidRPr="00DD22B7" w:rsidTr="00E73BA0">
        <w:trPr>
          <w:trHeight w:val="714"/>
        </w:trPr>
        <w:tc>
          <w:tcPr>
            <w:tcW w:w="3119" w:type="dxa"/>
            <w:shd w:val="clear" w:color="auto" w:fill="auto"/>
            <w:vAlign w:val="center"/>
          </w:tcPr>
          <w:p w:rsidR="001A21A0" w:rsidRPr="00A85458" w:rsidRDefault="001A21A0" w:rsidP="00E73BA0">
            <w:pPr>
              <w:shd w:val="clear" w:color="auto" w:fill="FFFFFF" w:themeFill="background1"/>
              <w:rPr>
                <w:rFonts w:eastAsia="A"/>
                <w:b/>
                <w:sz w:val="26"/>
                <w:szCs w:val="26"/>
              </w:rPr>
            </w:pPr>
            <w:r w:rsidRPr="00A85458">
              <w:rPr>
                <w:rFonts w:eastAsia="A"/>
                <w:b/>
                <w:sz w:val="26"/>
                <w:szCs w:val="26"/>
              </w:rPr>
              <w:lastRenderedPageBreak/>
              <w:t xml:space="preserve">Квалификационные/ Дополнительные требования к Участникам закупки: </w:t>
            </w:r>
          </w:p>
        </w:tc>
        <w:tc>
          <w:tcPr>
            <w:tcW w:w="7088" w:type="dxa"/>
            <w:shd w:val="clear" w:color="auto" w:fill="auto"/>
          </w:tcPr>
          <w:p w:rsidR="001A21A0" w:rsidRPr="001A21A0" w:rsidRDefault="001A21A0" w:rsidP="00DD5EAE">
            <w:pPr>
              <w:autoSpaceDE w:val="0"/>
              <w:autoSpaceDN w:val="0"/>
              <w:adjustRightInd w:val="0"/>
              <w:ind w:right="323"/>
              <w:contextualSpacing/>
              <w:jc w:val="both"/>
              <w:rPr>
                <w:b/>
                <w:sz w:val="26"/>
                <w:szCs w:val="26"/>
              </w:rPr>
            </w:pPr>
            <w:r w:rsidRPr="001A21A0">
              <w:rPr>
                <w:b/>
                <w:sz w:val="26"/>
                <w:szCs w:val="26"/>
              </w:rPr>
              <w:t>Возможность оказания услуг в г. Минск (согласно адресной программы (Приложение №1 к Приглашению), указанных в техническом задании, а также предоставление отчета о состоявшемся размещении (фотоотчет не менее чем о 10 местах размещения их программы).</w:t>
            </w:r>
          </w:p>
          <w:p w:rsidR="001A21A0" w:rsidRDefault="001A21A0" w:rsidP="00E73BA0">
            <w:pPr>
              <w:autoSpaceDE w:val="0"/>
              <w:autoSpaceDN w:val="0"/>
              <w:adjustRightInd w:val="0"/>
              <w:ind w:right="323"/>
              <w:contextualSpacing/>
              <w:jc w:val="both"/>
              <w:rPr>
                <w:b/>
                <w:sz w:val="26"/>
                <w:szCs w:val="26"/>
              </w:rPr>
            </w:pPr>
          </w:p>
          <w:p w:rsidR="001A21A0" w:rsidRPr="00707318" w:rsidRDefault="001A21A0" w:rsidP="00E73BA0">
            <w:pPr>
              <w:jc w:val="both"/>
              <w:rPr>
                <w:b/>
                <w:color w:val="FF0000"/>
                <w:sz w:val="26"/>
                <w:szCs w:val="26"/>
              </w:rPr>
            </w:pPr>
            <w:r w:rsidRPr="00707318">
              <w:rPr>
                <w:b/>
                <w:color w:val="FF0000"/>
                <w:sz w:val="26"/>
                <w:szCs w:val="26"/>
              </w:rPr>
              <w:t>Пункт подтверждается:</w:t>
            </w:r>
          </w:p>
          <w:p w:rsidR="001A21A0" w:rsidRPr="00C462C6" w:rsidRDefault="001A21A0" w:rsidP="00E73BA0">
            <w:pPr>
              <w:jc w:val="both"/>
              <w:rPr>
                <w:rFonts w:eastAsia="A"/>
                <w:b/>
                <w:sz w:val="26"/>
                <w:szCs w:val="26"/>
                <w:highlight w:val="yellow"/>
              </w:rPr>
            </w:pPr>
            <w:r w:rsidRPr="00707318">
              <w:rPr>
                <w:b/>
                <w:color w:val="FF0000"/>
                <w:sz w:val="26"/>
                <w:szCs w:val="26"/>
              </w:rPr>
              <w:t>- заявлением Участника.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8E1691" w:rsidRPr="008E1691" w:rsidRDefault="001A21A0" w:rsidP="008E1691">
            <w:pPr>
              <w:jc w:val="both"/>
              <w:rPr>
                <w:rFonts w:eastAsia="A"/>
                <w:sz w:val="26"/>
                <w:szCs w:val="26"/>
              </w:rPr>
            </w:pPr>
            <w:r>
              <w:rPr>
                <w:rFonts w:eastAsia="A"/>
                <w:sz w:val="26"/>
                <w:szCs w:val="26"/>
              </w:rPr>
              <w:t>20.10.2025-31.10.2025 гг.</w:t>
            </w:r>
          </w:p>
          <w:p w:rsidR="00722F60" w:rsidRPr="00A85458" w:rsidRDefault="00722F60" w:rsidP="005A7EB3">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1A21A0" w:rsidRDefault="001A21A0" w:rsidP="001A21A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 xml:space="preserve">наименьшую </w:t>
            </w:r>
            <w:r>
              <w:rPr>
                <w:b/>
                <w:sz w:val="26"/>
                <w:szCs w:val="26"/>
              </w:rPr>
              <w:t xml:space="preserve">итоговую стоимость услуги, </w:t>
            </w:r>
            <w:r w:rsidRPr="00A85458">
              <w:rPr>
                <w:sz w:val="26"/>
                <w:szCs w:val="26"/>
              </w:rPr>
              <w:t>при</w:t>
            </w:r>
            <w:r w:rsidRPr="00784E83">
              <w:rPr>
                <w:b/>
                <w:sz w:val="26"/>
                <w:szCs w:val="26"/>
              </w:rPr>
              <w:t xml:space="preserve"> условии его соответствия квалификационным и дополнительным требованиям Заказчика</w:t>
            </w:r>
            <w:r>
              <w:rPr>
                <w:sz w:val="26"/>
                <w:szCs w:val="26"/>
              </w:rPr>
              <w:t>, на основании Приложения №1 к Приглашению.</w:t>
            </w:r>
          </w:p>
          <w:p w:rsidR="0062353D" w:rsidRDefault="008D2D4B" w:rsidP="00722F60">
            <w:pPr>
              <w:shd w:val="clear" w:color="auto" w:fill="FFFFFF" w:themeFill="background1"/>
              <w:jc w:val="both"/>
              <w:rPr>
                <w:sz w:val="26"/>
                <w:szCs w:val="26"/>
              </w:rPr>
            </w:pPr>
            <w:r>
              <w:rPr>
                <w:sz w:val="26"/>
                <w:szCs w:val="26"/>
              </w:rPr>
              <w:t>.</w:t>
            </w:r>
          </w:p>
          <w:p w:rsidR="008D2D4B" w:rsidRDefault="008D2D4B"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8E1691" w:rsidRPr="00DD22B7" w:rsidTr="00111EF8">
        <w:tc>
          <w:tcPr>
            <w:tcW w:w="3119" w:type="dxa"/>
            <w:shd w:val="clear" w:color="auto" w:fill="auto"/>
            <w:vAlign w:val="center"/>
          </w:tcPr>
          <w:p w:rsidR="008E1691" w:rsidRPr="00A85458" w:rsidRDefault="008E1691" w:rsidP="00722F60">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8E1691" w:rsidRPr="00A85458" w:rsidRDefault="008E1691" w:rsidP="00722F60">
            <w:pPr>
              <w:shd w:val="clear" w:color="auto" w:fill="FFFFFF" w:themeFill="background1"/>
              <w:jc w:val="both"/>
              <w:rPr>
                <w:sz w:val="26"/>
                <w:szCs w:val="26"/>
              </w:rPr>
            </w:pPr>
            <w:r w:rsidRPr="00932B88">
              <w:rPr>
                <w:sz w:val="26"/>
                <w:szCs w:val="26"/>
              </w:rPr>
              <w:t>Участник по согласованию с Заказчиком для выполнения задач может привлекать подрядные организации (сотрудников) на аутсорсе, при этом стоимость услуг не должна увеличиваться</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B6C20" w:rsidRDefault="00BB6C20" w:rsidP="00722F60">
            <w:pPr>
              <w:autoSpaceDE w:val="0"/>
              <w:autoSpaceDN w:val="0"/>
              <w:adjustRightInd w:val="0"/>
              <w:jc w:val="both"/>
              <w:rPr>
                <w:rFonts w:eastAsia="A"/>
                <w:b/>
                <w:sz w:val="26"/>
                <w:szCs w:val="26"/>
              </w:rPr>
            </w:pPr>
            <w:r w:rsidRPr="00BB6C20">
              <w:rPr>
                <w:rFonts w:eastAsia="A"/>
                <w:b/>
                <w:sz w:val="26"/>
                <w:szCs w:val="26"/>
              </w:rPr>
              <w:t xml:space="preserve">стоимости </w:t>
            </w:r>
            <w:r w:rsidR="00A84AD0">
              <w:rPr>
                <w:rFonts w:eastAsia="A"/>
                <w:b/>
                <w:sz w:val="26"/>
                <w:szCs w:val="26"/>
              </w:rPr>
              <w:t>услуги</w:t>
            </w:r>
            <w:r w:rsidRPr="00BB6C20">
              <w:rPr>
                <w:rFonts w:eastAsia="A"/>
                <w:b/>
                <w:sz w:val="26"/>
                <w:szCs w:val="26"/>
              </w:rPr>
              <w:t>, в</w:t>
            </w:r>
            <w:r w:rsidR="00722F60" w:rsidRPr="00BB6C20">
              <w:rPr>
                <w:rFonts w:eastAsia="A"/>
                <w:b/>
                <w:sz w:val="26"/>
                <w:szCs w:val="26"/>
              </w:rPr>
              <w:t xml:space="preserve"> BYN с НДС (исходя из</w:t>
            </w:r>
            <w:r w:rsidRPr="00BB6C20">
              <w:rPr>
                <w:rFonts w:eastAsia="A"/>
                <w:b/>
                <w:sz w:val="26"/>
                <w:szCs w:val="26"/>
              </w:rPr>
              <w:t xml:space="preserve"> Технического задания, указанного в Приложение</w:t>
            </w:r>
            <w:r w:rsidR="00722F60" w:rsidRPr="00BB6C20">
              <w:rPr>
                <w:rFonts w:eastAsia="A"/>
                <w:b/>
                <w:sz w:val="26"/>
                <w:szCs w:val="26"/>
              </w:rPr>
              <w:t xml:space="preserve">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FA7FC1">
              <w:rPr>
                <w:rFonts w:eastAsia="A"/>
                <w:sz w:val="26"/>
                <w:szCs w:val="26"/>
              </w:rPr>
              <w:t xml:space="preserve">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FA7FC1" w:rsidRDefault="00722F60" w:rsidP="00FA7FC1">
            <w:pPr>
              <w:pStyle w:val="ab"/>
              <w:numPr>
                <w:ilvl w:val="0"/>
                <w:numId w:val="41"/>
              </w:numPr>
              <w:autoSpaceDE w:val="0"/>
              <w:autoSpaceDN w:val="0"/>
              <w:adjustRightInd w:val="0"/>
              <w:jc w:val="both"/>
              <w:rPr>
                <w:rFonts w:eastAsia="A"/>
                <w:sz w:val="26"/>
                <w:szCs w:val="26"/>
              </w:rPr>
            </w:pPr>
            <w:r w:rsidRPr="00FA7FC1">
              <w:rPr>
                <w:rFonts w:eastAsia="A"/>
                <w:sz w:val="26"/>
                <w:szCs w:val="26"/>
              </w:rPr>
              <w:t>сроки и условия оказания услуг;</w:t>
            </w:r>
          </w:p>
          <w:p w:rsidR="00722F60" w:rsidRPr="00DD22B7" w:rsidRDefault="00722F60" w:rsidP="00FA7FC1">
            <w:pPr>
              <w:pStyle w:val="ab"/>
              <w:numPr>
                <w:ilvl w:val="0"/>
                <w:numId w:val="41"/>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8D2D4B">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1A21A0" w:rsidRPr="00707318" w:rsidRDefault="001A21A0" w:rsidP="001A21A0">
            <w:pPr>
              <w:pStyle w:val="ab"/>
              <w:numPr>
                <w:ilvl w:val="0"/>
                <w:numId w:val="4"/>
              </w:numPr>
              <w:shd w:val="clear" w:color="auto" w:fill="FFFFFF" w:themeFill="background1"/>
              <w:autoSpaceDE w:val="0"/>
              <w:autoSpaceDN w:val="0"/>
              <w:adjustRightInd w:val="0"/>
              <w:jc w:val="both"/>
              <w:rPr>
                <w:rFonts w:eastAsia="A"/>
                <w:b/>
                <w:color w:val="FF0000"/>
                <w:sz w:val="26"/>
                <w:szCs w:val="26"/>
              </w:rPr>
            </w:pPr>
            <w:r w:rsidRPr="00217CBE">
              <w:rPr>
                <w:rFonts w:eastAsia="A"/>
                <w:b/>
                <w:sz w:val="26"/>
                <w:szCs w:val="26"/>
              </w:rPr>
              <w:t>документы подтверждающие квалификационные /дополни</w:t>
            </w:r>
            <w:r>
              <w:rPr>
                <w:rFonts w:eastAsia="A"/>
                <w:b/>
                <w:sz w:val="26"/>
                <w:szCs w:val="26"/>
              </w:rPr>
              <w:t xml:space="preserve">тельные требования к участникам </w:t>
            </w:r>
            <w:r w:rsidRPr="00707318">
              <w:rPr>
                <w:rFonts w:eastAsia="A"/>
                <w:b/>
                <w:color w:val="FF0000"/>
                <w:sz w:val="26"/>
                <w:szCs w:val="26"/>
              </w:rPr>
              <w:t>(Заявление участника).</w:t>
            </w:r>
          </w:p>
          <w:p w:rsidR="00722F60" w:rsidRPr="000E176B" w:rsidRDefault="00722F60" w:rsidP="00A84AD0">
            <w:pPr>
              <w:pStyle w:val="ab"/>
              <w:shd w:val="clear" w:color="auto" w:fill="FFFFFF" w:themeFill="background1"/>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8E1691" w:rsidRPr="00932B88" w:rsidRDefault="008E1691" w:rsidP="00932B88">
            <w:pPr>
              <w:shd w:val="clear" w:color="auto" w:fill="FFFFFF" w:themeFill="background1"/>
              <w:autoSpaceDE w:val="0"/>
              <w:autoSpaceDN w:val="0"/>
              <w:adjustRightInd w:val="0"/>
              <w:jc w:val="both"/>
              <w:rPr>
                <w:rFonts w:eastAsia="A"/>
                <w:sz w:val="26"/>
                <w:szCs w:val="26"/>
              </w:rPr>
            </w:pPr>
            <w:r w:rsidRPr="00932B88">
              <w:rPr>
                <w:rFonts w:eastAsia="A"/>
                <w:sz w:val="26"/>
                <w:szCs w:val="26"/>
              </w:rPr>
              <w:t xml:space="preserve">Оплата по факту оказания услуг, на основании акта, не позднее </w:t>
            </w:r>
            <w:r w:rsidR="001A21A0">
              <w:rPr>
                <w:rFonts w:eastAsia="A"/>
                <w:sz w:val="26"/>
                <w:szCs w:val="26"/>
              </w:rPr>
              <w:t>10</w:t>
            </w:r>
            <w:r w:rsidRPr="00932B88">
              <w:rPr>
                <w:rFonts w:eastAsia="A"/>
                <w:sz w:val="26"/>
                <w:szCs w:val="26"/>
              </w:rPr>
              <w:t>-ти (</w:t>
            </w:r>
            <w:r w:rsidR="001A21A0">
              <w:rPr>
                <w:rFonts w:eastAsia="A"/>
                <w:sz w:val="26"/>
                <w:szCs w:val="26"/>
              </w:rPr>
              <w:t>десяти</w:t>
            </w:r>
            <w:r w:rsidRPr="00932B88">
              <w:rPr>
                <w:rFonts w:eastAsia="A"/>
                <w:sz w:val="26"/>
                <w:szCs w:val="26"/>
              </w:rPr>
              <w:t xml:space="preserve">) банковских дней с даты </w:t>
            </w:r>
            <w:r w:rsidR="00932B88">
              <w:rPr>
                <w:rFonts w:eastAsia="A"/>
                <w:sz w:val="26"/>
                <w:szCs w:val="26"/>
              </w:rPr>
              <w:t>его подписания обеими сторонами</w:t>
            </w:r>
          </w:p>
          <w:p w:rsidR="00722F60" w:rsidRPr="008E1691" w:rsidRDefault="00722F60" w:rsidP="007C3983">
            <w:pPr>
              <w:shd w:val="clear" w:color="auto" w:fill="FFFFFF" w:themeFill="background1"/>
              <w:autoSpaceDE w:val="0"/>
              <w:autoSpaceDN w:val="0"/>
              <w:adjustRightInd w:val="0"/>
              <w:jc w:val="both"/>
              <w:rPr>
                <w:rFonts w:eastAsia="A"/>
                <w:sz w:val="26"/>
                <w:szCs w:val="26"/>
                <w:highlight w:val="green"/>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8D2D4B">
              <w:rPr>
                <w:rFonts w:eastAsia="A"/>
                <w:sz w:val="26"/>
                <w:szCs w:val="26"/>
              </w:rPr>
              <w:t>оговорка согласно Приложению № 3</w:t>
            </w:r>
            <w:r w:rsidRPr="00DD22B7">
              <w:rPr>
                <w:rFonts w:eastAsia="A"/>
                <w:sz w:val="26"/>
                <w:szCs w:val="26"/>
              </w:rPr>
              <w:t xml:space="preserve"> к Приглашению.</w:t>
            </w:r>
          </w:p>
          <w:p w:rsidR="001A21A0" w:rsidRDefault="001A21A0" w:rsidP="00722F60">
            <w:pPr>
              <w:shd w:val="clear" w:color="auto" w:fill="FFFFFF" w:themeFill="background1"/>
              <w:autoSpaceDE w:val="0"/>
              <w:autoSpaceDN w:val="0"/>
              <w:adjustRightInd w:val="0"/>
              <w:jc w:val="both"/>
              <w:rPr>
                <w:rFonts w:eastAsia="A"/>
                <w:sz w:val="26"/>
                <w:szCs w:val="26"/>
              </w:rPr>
            </w:pP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p w:rsidR="001A21A0" w:rsidRDefault="001A21A0" w:rsidP="00722F60">
            <w:pPr>
              <w:pStyle w:val="ConsPlusNormal"/>
              <w:shd w:val="clear" w:color="auto" w:fill="FFFFFF" w:themeFill="background1"/>
              <w:jc w:val="both"/>
              <w:rPr>
                <w:rFonts w:ascii="Times New Roman" w:eastAsia="A" w:hAnsi="Times New Roman" w:cs="Times New Roman"/>
                <w:sz w:val="26"/>
                <w:szCs w:val="26"/>
              </w:rPr>
            </w:pPr>
          </w:p>
          <w:p w:rsidR="001A21A0" w:rsidRPr="00DD5EAE" w:rsidRDefault="00DD5EAE" w:rsidP="00DD5EAE">
            <w:pPr>
              <w:pStyle w:val="ConsPlusNormal"/>
              <w:shd w:val="clear" w:color="auto" w:fill="FFFFFF" w:themeFill="background1"/>
              <w:jc w:val="both"/>
              <w:rPr>
                <w:rFonts w:ascii="Times New Roman" w:eastAsia="A" w:hAnsi="Times New Roman" w:cs="Times New Roman"/>
                <w:sz w:val="26"/>
                <w:szCs w:val="26"/>
              </w:rPr>
            </w:pPr>
            <w:r w:rsidRPr="00DD5EAE">
              <w:rPr>
                <w:rFonts w:ascii="Times New Roman" w:eastAsia="A" w:hAnsi="Times New Roman" w:cs="Times New Roman"/>
                <w:sz w:val="26"/>
                <w:szCs w:val="26"/>
              </w:rPr>
              <w:t>До предполагаемой даты</w:t>
            </w:r>
            <w:r w:rsidR="0083291E" w:rsidRPr="00DD5EAE">
              <w:rPr>
                <w:rFonts w:ascii="Times New Roman" w:eastAsia="A" w:hAnsi="Times New Roman" w:cs="Times New Roman"/>
                <w:sz w:val="26"/>
                <w:szCs w:val="26"/>
              </w:rPr>
              <w:t xml:space="preserve"> начала оказания услуг, </w:t>
            </w:r>
            <w:r w:rsidRPr="00DD5EAE">
              <w:rPr>
                <w:rFonts w:ascii="Times New Roman" w:eastAsia="A" w:hAnsi="Times New Roman" w:cs="Times New Roman"/>
                <w:sz w:val="26"/>
                <w:szCs w:val="26"/>
              </w:rPr>
              <w:t>договор может быть не заключен. При предоставлении коммерческого предложения  Участник (при выборе его победителем)  соглашается на</w:t>
            </w:r>
            <w:r w:rsidR="0083291E" w:rsidRPr="00DD5EAE">
              <w:rPr>
                <w:rFonts w:ascii="Times New Roman" w:eastAsia="A" w:hAnsi="Times New Roman" w:cs="Times New Roman"/>
                <w:sz w:val="26"/>
                <w:szCs w:val="26"/>
              </w:rPr>
              <w:t xml:space="preserve"> распространение действий заключенного договора с даты начала оказания услуг</w:t>
            </w:r>
            <w:r w:rsidRPr="00DD5EAE">
              <w:rPr>
                <w:rFonts w:ascii="Times New Roman" w:eastAsia="A" w:hAnsi="Times New Roman" w:cs="Times New Roman"/>
                <w:sz w:val="26"/>
                <w:szCs w:val="26"/>
              </w:rPr>
              <w:t>.</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936DFC">
              <w:rPr>
                <w:rFonts w:eastAsia="A"/>
                <w:color w:val="FF0000"/>
                <w:sz w:val="26"/>
                <w:szCs w:val="26"/>
              </w:rPr>
              <w:t>Стоимость и процедура понижения цены -  Электронная торговая площадка Бидмарт (https:</w:t>
            </w:r>
            <w:r w:rsidRPr="001C504F">
              <w:rPr>
                <w:rFonts w:eastAsia="A"/>
                <w:color w:val="FF0000"/>
                <w:sz w:val="26"/>
                <w:szCs w:val="26"/>
              </w:rPr>
              <w:t>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722F60" w:rsidRPr="002B348E" w:rsidRDefault="00EE7C39" w:rsidP="00B731B4">
            <w:pPr>
              <w:jc w:val="both"/>
              <w:rPr>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r w:rsidR="00010FEC" w:rsidRPr="001C504F">
              <w:rPr>
                <w:rFonts w:eastAsia="A"/>
                <w:color w:val="FF0000"/>
              </w:rPr>
              <w:t>с</w:t>
            </w:r>
            <w:r w:rsidR="00010FEC" w:rsidRPr="001C504F">
              <w:rPr>
                <w:rFonts w:eastAsia="A"/>
                <w:color w:val="FF0000"/>
                <w:sz w:val="26"/>
                <w:szCs w:val="26"/>
              </w:rPr>
              <w:t xml:space="preserve"> пометкой </w:t>
            </w:r>
            <w:r w:rsidR="001A21A0" w:rsidRPr="001A21A0">
              <w:rPr>
                <w:rFonts w:eastAsia="A"/>
                <w:color w:val="FF0000"/>
                <w:sz w:val="26"/>
                <w:szCs w:val="26"/>
              </w:rPr>
              <w:t>«Размещение рекламного материала ОАО «Сбер Банк» на мониторах в холлах жилых домов в г. Минске (129 экранов, 15 351 квартира) с 20.10.2025 по 31.10.2025»</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A51820" w:rsidRPr="00A51820" w:rsidRDefault="00A51820" w:rsidP="00722F60">
            <w:pPr>
              <w:shd w:val="clear" w:color="auto" w:fill="FFFFFF" w:themeFill="background1"/>
              <w:jc w:val="both"/>
              <w:rPr>
                <w:rFonts w:eastAsia="A"/>
                <w:sz w:val="26"/>
                <w:szCs w:val="26"/>
              </w:rPr>
            </w:pPr>
            <w:r w:rsidRPr="00A51820">
              <w:rPr>
                <w:rFonts w:eastAsia="A"/>
                <w:sz w:val="26"/>
                <w:szCs w:val="26"/>
              </w:rPr>
              <w:t>Себякин Андрей Юрьевич</w:t>
            </w:r>
          </w:p>
          <w:p w:rsidR="00722F60" w:rsidRPr="00DD22B7" w:rsidRDefault="00722F60" w:rsidP="00A5182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932B88" w:rsidRPr="00932B88">
              <w:rPr>
                <w:rFonts w:eastAsia="A"/>
                <w:sz w:val="26"/>
                <w:szCs w:val="26"/>
              </w:rPr>
              <w:t>+375 17</w:t>
            </w:r>
            <w:r w:rsidR="00932B88">
              <w:rPr>
                <w:rFonts w:eastAsia="A"/>
                <w:sz w:val="26"/>
                <w:szCs w:val="26"/>
              </w:rPr>
              <w:t> </w:t>
            </w:r>
            <w:r w:rsidR="00932B88" w:rsidRPr="00932B88">
              <w:rPr>
                <w:rFonts w:eastAsia="A"/>
                <w:sz w:val="26"/>
                <w:szCs w:val="26"/>
              </w:rPr>
              <w:t>359</w:t>
            </w:r>
            <w:r w:rsidR="00932B88">
              <w:rPr>
                <w:rFonts w:eastAsia="A"/>
                <w:sz w:val="26"/>
                <w:szCs w:val="26"/>
              </w:rPr>
              <w:t xml:space="preserve"> </w:t>
            </w:r>
            <w:r w:rsidR="00A51820">
              <w:rPr>
                <w:rFonts w:eastAsia="A"/>
                <w:sz w:val="26"/>
                <w:szCs w:val="26"/>
              </w:rPr>
              <w:t>92 26</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1A21A0">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EE7C39">
              <w:rPr>
                <w:rFonts w:ascii="Times New Roman" w:eastAsia="A" w:hAnsi="Times New Roman"/>
                <w:sz w:val="26"/>
                <w:szCs w:val="26"/>
                <w:lang w:eastAsia="ru-RU"/>
              </w:rPr>
              <w:t>06</w:t>
            </w:r>
            <w:bookmarkStart w:id="0" w:name="_GoBack"/>
            <w:bookmarkEnd w:id="0"/>
            <w:r w:rsidR="00A51820">
              <w:rPr>
                <w:rFonts w:ascii="Times New Roman" w:eastAsia="A" w:hAnsi="Times New Roman"/>
                <w:sz w:val="26"/>
                <w:szCs w:val="26"/>
                <w:lang w:eastAsia="ru-RU"/>
              </w:rPr>
              <w:t xml:space="preserve"> </w:t>
            </w:r>
            <w:r w:rsidR="001A21A0">
              <w:rPr>
                <w:rFonts w:ascii="Times New Roman" w:eastAsia="A" w:hAnsi="Times New Roman"/>
                <w:sz w:val="26"/>
                <w:szCs w:val="26"/>
                <w:lang w:eastAsia="ru-RU"/>
              </w:rPr>
              <w:t>октября</w:t>
            </w:r>
            <w:r w:rsidR="00A51820">
              <w:rPr>
                <w:rFonts w:ascii="Times New Roman" w:eastAsia="A" w:hAnsi="Times New Roman"/>
                <w:sz w:val="26"/>
                <w:szCs w:val="26"/>
                <w:lang w:eastAsia="ru-RU"/>
              </w:rPr>
              <w:t xml:space="preserve"> 2025</w:t>
            </w:r>
            <w:r w:rsidR="008D2D4B">
              <w:rPr>
                <w:rFonts w:ascii="Times New Roman" w:eastAsia="A" w:hAnsi="Times New Roman"/>
                <w:sz w:val="26"/>
                <w:szCs w:val="26"/>
                <w:lang w:eastAsia="ru-RU"/>
              </w:rPr>
              <w:t xml:space="preserve"> </w:t>
            </w:r>
            <w:r w:rsidR="00B731B4">
              <w:rPr>
                <w:rFonts w:ascii="Times New Roman" w:eastAsia="A" w:hAnsi="Times New Roman"/>
                <w:sz w:val="26"/>
                <w:szCs w:val="26"/>
                <w:lang w:eastAsia="ru-RU"/>
              </w:rPr>
              <w:t xml:space="preserve">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Техническое задание на закупку</w:t>
      </w:r>
      <w:r w:rsidR="001A21A0">
        <w:rPr>
          <w:rFonts w:eastAsia="A"/>
          <w:sz w:val="28"/>
          <w:szCs w:val="28"/>
        </w:rPr>
        <w:t xml:space="preserve"> + Адресная программа</w:t>
      </w:r>
      <w:r w:rsidR="00217CBE" w:rsidRPr="00F23CEB">
        <w:rPr>
          <w:rFonts w:eastAsia="A"/>
          <w:sz w:val="28"/>
          <w:szCs w:val="28"/>
        </w:rPr>
        <w:t xml:space="preserve">» </w:t>
      </w:r>
      <w:r w:rsidRPr="00F23CEB">
        <w:rPr>
          <w:rFonts w:eastAsia="A"/>
          <w:sz w:val="28"/>
          <w:szCs w:val="28"/>
        </w:rPr>
        <w:t xml:space="preserve">на </w:t>
      </w:r>
      <w:r w:rsidR="00932B88">
        <w:rPr>
          <w:rFonts w:eastAsia="A"/>
          <w:sz w:val="28"/>
          <w:szCs w:val="28"/>
        </w:rPr>
        <w:t>1</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1A21A0" w:rsidP="002C24D2">
      <w:pPr>
        <w:shd w:val="clear" w:color="auto" w:fill="FFFFFF" w:themeFill="background1"/>
        <w:jc w:val="both"/>
        <w:rPr>
          <w:rFonts w:eastAsia="A"/>
          <w:sz w:val="28"/>
          <w:szCs w:val="28"/>
        </w:rPr>
      </w:pPr>
      <w:r>
        <w:rPr>
          <w:sz w:val="28"/>
          <w:szCs w:val="28"/>
        </w:rPr>
        <w:t>И.о. н</w:t>
      </w:r>
      <w:r w:rsidR="002C24D2" w:rsidRPr="00DD22B7">
        <w:rPr>
          <w:sz w:val="28"/>
          <w:szCs w:val="28"/>
        </w:rPr>
        <w:t>ачальник</w:t>
      </w:r>
      <w:r>
        <w:rPr>
          <w:sz w:val="28"/>
          <w:szCs w:val="28"/>
        </w:rPr>
        <w:t>а</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sidR="005A7EB3">
        <w:rPr>
          <w:sz w:val="28"/>
          <w:szCs w:val="28"/>
        </w:rPr>
        <w:t xml:space="preserve">  </w:t>
      </w:r>
      <w:r>
        <w:rPr>
          <w:sz w:val="28"/>
          <w:szCs w:val="28"/>
        </w:rPr>
        <w:t xml:space="preserve">  </w:t>
      </w:r>
      <w:r w:rsidR="005A7EB3">
        <w:rPr>
          <w:sz w:val="28"/>
          <w:szCs w:val="28"/>
        </w:rPr>
        <w:t xml:space="preserve">  </w:t>
      </w:r>
      <w:r w:rsidR="002C24D2">
        <w:rPr>
          <w:sz w:val="28"/>
          <w:szCs w:val="28"/>
        </w:rPr>
        <w:t xml:space="preserve">                                   </w:t>
      </w:r>
      <w:r>
        <w:rPr>
          <w:sz w:val="28"/>
          <w:szCs w:val="28"/>
        </w:rPr>
        <w:t>И.М.Трасковский</w:t>
      </w:r>
    </w:p>
    <w:p w:rsidR="002C24D2" w:rsidRPr="00DD22B7" w:rsidRDefault="002C24D2" w:rsidP="003D0E43">
      <w:pPr>
        <w:shd w:val="clear" w:color="auto" w:fill="FFFFFF" w:themeFill="background1"/>
        <w:ind w:firstLine="709"/>
        <w:rPr>
          <w:rFonts w:eastAsia="A"/>
          <w:sz w:val="28"/>
          <w:szCs w:val="28"/>
        </w:rPr>
      </w:pPr>
    </w:p>
    <w:p w:rsidR="00EF45C4" w:rsidRDefault="00EF45C4" w:rsidP="00735021">
      <w:pPr>
        <w:shd w:val="clear" w:color="auto" w:fill="FFFFFF" w:themeFill="background1"/>
        <w:jc w:val="both"/>
        <w:rPr>
          <w:rFonts w:eastAsia="A"/>
          <w:sz w:val="28"/>
          <w:szCs w:val="28"/>
        </w:rPr>
      </w:pPr>
      <w:r>
        <w:rPr>
          <w:rFonts w:eastAsia="A"/>
          <w:sz w:val="28"/>
          <w:szCs w:val="28"/>
        </w:rPr>
        <w:br w:type="page"/>
      </w:r>
    </w:p>
    <w:p w:rsidR="00EF45C4" w:rsidRDefault="00EF45C4" w:rsidP="00735021">
      <w:pPr>
        <w:shd w:val="clear" w:color="auto" w:fill="FFFFFF" w:themeFill="background1"/>
        <w:jc w:val="both"/>
        <w:rPr>
          <w:rFonts w:eastAsia="A"/>
          <w:sz w:val="28"/>
          <w:szCs w:val="28"/>
        </w:rPr>
        <w:sectPr w:rsidR="00EF45C4" w:rsidSect="00784E83">
          <w:headerReference w:type="default" r:id="rId8"/>
          <w:type w:val="continuous"/>
          <w:pgSz w:w="11906" w:h="16838"/>
          <w:pgMar w:top="1134" w:right="567" w:bottom="709" w:left="1701" w:header="709" w:footer="709" w:gutter="0"/>
          <w:cols w:space="708"/>
          <w:titlePg/>
          <w:docGrid w:linePitch="360"/>
        </w:sect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696BD3"/>
    <w:multiLevelType w:val="hybridMultilevel"/>
    <w:tmpl w:val="05F85B8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8"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7"/>
  </w:num>
  <w:num w:numId="4">
    <w:abstractNumId w:val="4"/>
  </w:num>
  <w:num w:numId="5">
    <w:abstractNumId w:val="25"/>
  </w:num>
  <w:num w:numId="6">
    <w:abstractNumId w:val="12"/>
  </w:num>
  <w:num w:numId="7">
    <w:abstractNumId w:val="36"/>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9"/>
  </w:num>
  <w:num w:numId="18">
    <w:abstractNumId w:val="10"/>
  </w:num>
  <w:num w:numId="19">
    <w:abstractNumId w:val="6"/>
  </w:num>
  <w:num w:numId="20">
    <w:abstractNumId w:val="17"/>
  </w:num>
  <w:num w:numId="21">
    <w:abstractNumId w:val="35"/>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A21A0"/>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55E89"/>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07318"/>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958B4"/>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291E"/>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1691"/>
    <w:rsid w:val="008E469B"/>
    <w:rsid w:val="008F7E12"/>
    <w:rsid w:val="00913207"/>
    <w:rsid w:val="009135EE"/>
    <w:rsid w:val="00916658"/>
    <w:rsid w:val="00923037"/>
    <w:rsid w:val="00923433"/>
    <w:rsid w:val="009269C9"/>
    <w:rsid w:val="00926E65"/>
    <w:rsid w:val="009301C4"/>
    <w:rsid w:val="00930F57"/>
    <w:rsid w:val="00932367"/>
    <w:rsid w:val="00932B88"/>
    <w:rsid w:val="00933515"/>
    <w:rsid w:val="00933C9B"/>
    <w:rsid w:val="00936DFC"/>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51820"/>
    <w:rsid w:val="00A6418C"/>
    <w:rsid w:val="00A66F42"/>
    <w:rsid w:val="00A70ACB"/>
    <w:rsid w:val="00A71F8B"/>
    <w:rsid w:val="00A73936"/>
    <w:rsid w:val="00A81D16"/>
    <w:rsid w:val="00A84AD0"/>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E6B2B"/>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B6C20"/>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5EAE"/>
    <w:rsid w:val="00DD6956"/>
    <w:rsid w:val="00DE7C50"/>
    <w:rsid w:val="00E05E40"/>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E7C39"/>
    <w:rsid w:val="00EF45C4"/>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A7FC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81D42"/>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2330">
      <w:bodyDiv w:val="1"/>
      <w:marLeft w:val="0"/>
      <w:marRight w:val="0"/>
      <w:marTop w:val="0"/>
      <w:marBottom w:val="0"/>
      <w:divBdr>
        <w:top w:val="none" w:sz="0" w:space="0" w:color="auto"/>
        <w:left w:val="none" w:sz="0" w:space="0" w:color="auto"/>
        <w:bottom w:val="none" w:sz="0" w:space="0" w:color="auto"/>
        <w:right w:val="none" w:sz="0" w:space="0" w:color="auto"/>
      </w:divBdr>
    </w:div>
    <w:div w:id="38923655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927419148">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21434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8</Pages>
  <Words>2250</Words>
  <Characters>12829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16</cp:revision>
  <cp:lastPrinted>2021-10-19T09:55:00Z</cp:lastPrinted>
  <dcterms:created xsi:type="dcterms:W3CDTF">2025-08-11T11:45:00Z</dcterms:created>
  <dcterms:modified xsi:type="dcterms:W3CDTF">2025-09-30T14:00:00Z</dcterms:modified>
</cp:coreProperties>
</file>